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黑体" w:eastAsia="黑体"/>
          <w:sz w:val="32"/>
          <w:szCs w:val="32"/>
        </w:rPr>
      </w:pPr>
      <w:r>
        <w:rPr>
          <w:rFonts w:hint="eastAsia" w:ascii="黑体" w:eastAsia="黑体"/>
          <w:sz w:val="32"/>
          <w:szCs w:val="32"/>
        </w:rPr>
        <w:t>附件</w:t>
      </w:r>
    </w:p>
    <w:p>
      <w:pPr>
        <w:rPr>
          <w:rFonts w:hint="eastAsia" w:ascii="黑体" w:eastAsia="黑体"/>
          <w:sz w:val="32"/>
          <w:szCs w:val="32"/>
        </w:rPr>
      </w:pPr>
    </w:p>
    <w:p>
      <w:pPr>
        <w:rPr>
          <w:rFonts w:ascii="黑体" w:eastAsia="黑体"/>
          <w:sz w:val="32"/>
          <w:szCs w:val="32"/>
        </w:rPr>
      </w:pPr>
    </w:p>
    <w:p>
      <w:pPr>
        <w:adjustRightInd w:val="0"/>
        <w:snapToGrid w:val="0"/>
        <w:jc w:val="center"/>
        <w:rPr>
          <w:rFonts w:ascii="方正小标宋_GBK" w:eastAsia="方正小标宋_GBK" w:cs="Arial"/>
          <w:color w:val="FF0000"/>
          <w:spacing w:val="20"/>
          <w:w w:val="60"/>
          <w:sz w:val="126"/>
          <w:szCs w:val="126"/>
        </w:rPr>
      </w:pPr>
      <w:r>
        <w:rPr>
          <w:rFonts w:hint="eastAsia" w:ascii="仿宋_GB2312" w:eastAsia="仿宋_GB2312"/>
          <w:sz w:val="32"/>
          <w:szCs w:val="32"/>
        </w:rPr>
        <mc:AlternateContent>
          <mc:Choice Requires="wps">
            <w:drawing>
              <wp:anchor distT="0" distB="0" distL="114300" distR="114300" simplePos="0" relativeHeight="251663360" behindDoc="0" locked="0" layoutInCell="1" allowOverlap="1">
                <wp:simplePos x="0" y="0"/>
                <wp:positionH relativeFrom="column">
                  <wp:posOffset>255905</wp:posOffset>
                </wp:positionH>
                <wp:positionV relativeFrom="paragraph">
                  <wp:posOffset>938530</wp:posOffset>
                </wp:positionV>
                <wp:extent cx="5226685" cy="1264285"/>
                <wp:effectExtent l="4445" t="4445" r="7620" b="7620"/>
                <wp:wrapNone/>
                <wp:docPr id="4" name="文本框 5"/>
                <wp:cNvGraphicFramePr/>
                <a:graphic xmlns:a="http://schemas.openxmlformats.org/drawingml/2006/main">
                  <a:graphicData uri="http://schemas.microsoft.com/office/word/2010/wordprocessingShape">
                    <wps:wsp>
                      <wps:cNvSpPr txBox="1"/>
                      <wps:spPr>
                        <a:xfrm>
                          <a:off x="0" y="0"/>
                          <a:ext cx="5226685" cy="1264285"/>
                        </a:xfrm>
                        <a:prstGeom prst="rect">
                          <a:avLst/>
                        </a:prstGeom>
                        <a:solidFill>
                          <a:srgbClr val="FFFFFF"/>
                        </a:solidFill>
                        <a:ln w="9525" cap="flat" cmpd="sng">
                          <a:solidFill>
                            <a:srgbClr val="FFFFFF"/>
                          </a:solidFill>
                          <a:prstDash val="solid"/>
                          <a:miter/>
                          <a:headEnd type="none" w="med" len="med"/>
                          <a:tailEnd type="none" w="med" len="med"/>
                        </a:ln>
                      </wps:spPr>
                      <wps:txbx>
                        <w:txbxContent>
                          <w:p>
                            <w:pPr>
                              <w:jc w:val="distribute"/>
                              <w:rPr>
                                <w:rFonts w:hint="eastAsia" w:ascii="方正小标宋_GBK" w:eastAsia="方正小标宋_GBK" w:cs="Arial"/>
                                <w:color w:val="FF0000"/>
                                <w:spacing w:val="20"/>
                                <w:w w:val="60"/>
                                <w:sz w:val="126"/>
                                <w:szCs w:val="126"/>
                              </w:rPr>
                            </w:pPr>
                            <w:r>
                              <w:rPr>
                                <w:rFonts w:hint="eastAsia" w:ascii="方正小标宋_GBK" w:eastAsia="方正小标宋_GBK" w:cs="Arial"/>
                                <w:color w:val="FF0000"/>
                                <w:spacing w:val="20"/>
                                <w:w w:val="60"/>
                                <w:sz w:val="126"/>
                                <w:szCs w:val="126"/>
                              </w:rPr>
                              <w:t>青岛市财政局</w:t>
                            </w:r>
                          </w:p>
                          <w:p/>
                        </w:txbxContent>
                      </wps:txbx>
                      <wps:bodyPr upright="1"/>
                    </wps:wsp>
                  </a:graphicData>
                </a:graphic>
              </wp:anchor>
            </w:drawing>
          </mc:Choice>
          <mc:Fallback>
            <w:pict>
              <v:shape id="文本框 5" o:spid="_x0000_s1026" o:spt="202" type="#_x0000_t202" style="position:absolute;left:0pt;margin-left:20.15pt;margin-top:73.9pt;height:99.55pt;width:411.55pt;z-index:251663360;mso-width-relative:margin;mso-height-relative:margin;" fillcolor="#FFFFFF" filled="t" stroked="t" coordsize="21600,21600" o:gfxdata="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Aq&#10;s2aM2AAAAAoBAAAPAAAAAAAAAAEAIAAAACIAAABkcnMvZG93bnJldi54bWxQSwECFAAUAAAACACH&#10;TuJAd/pPQ+sBAADpAwAADgAAAAAAAAABACAAAAAnAQAAZHJzL2Uyb0RvYy54bWxQSwUGAAAAAAYA&#10;BgBZAQAAhAUAAAAA&#10;">
                <v:fill on="t" focussize="0,0"/>
                <v:stroke color="#FFFFFF" joinstyle="miter"/>
                <v:imagedata o:title=""/>
                <o:lock v:ext="edit" aspectratio="f"/>
                <v:textbox>
                  <w:txbxContent>
                    <w:p>
                      <w:pPr>
                        <w:jc w:val="distribute"/>
                        <w:rPr>
                          <w:rFonts w:hint="eastAsia" w:ascii="方正小标宋_GBK" w:eastAsia="方正小标宋_GBK" w:cs="Arial"/>
                          <w:color w:val="FF0000"/>
                          <w:spacing w:val="20"/>
                          <w:w w:val="60"/>
                          <w:sz w:val="126"/>
                          <w:szCs w:val="126"/>
                        </w:rPr>
                      </w:pPr>
                      <w:r>
                        <w:rPr>
                          <w:rFonts w:hint="eastAsia" w:ascii="方正小标宋_GBK" w:eastAsia="方正小标宋_GBK" w:cs="Arial"/>
                          <w:color w:val="FF0000"/>
                          <w:spacing w:val="20"/>
                          <w:w w:val="60"/>
                          <w:sz w:val="126"/>
                          <w:szCs w:val="126"/>
                        </w:rPr>
                        <w:t>青岛市财政局</w:t>
                      </w:r>
                    </w:p>
                    <w:p/>
                  </w:txbxContent>
                </v:textbox>
              </v:shape>
            </w:pict>
          </mc:Fallback>
        </mc:AlternateContent>
      </w:r>
      <w:r>
        <w:rPr>
          <w:rFonts w:hint="eastAsia" w:ascii="方正小标宋_GBK" w:eastAsia="方正小标宋_GBK" w:cs="Arial"/>
          <w:color w:val="FF0000"/>
          <w:spacing w:val="20"/>
          <w:w w:val="60"/>
          <w:sz w:val="126"/>
          <w:szCs w:val="126"/>
        </w:rPr>
        <w:t>青岛市民营经济发展局</w:t>
      </w:r>
    </w:p>
    <w:p>
      <w:pPr>
        <w:rPr>
          <w:rFonts w:hint="eastAsia" w:ascii="仿宋_GB2312" w:eastAsia="仿宋_GB2312"/>
          <w:sz w:val="32"/>
          <w:szCs w:val="32"/>
        </w:rPr>
      </w:pPr>
    </w:p>
    <w:p>
      <w:pPr>
        <w:rPr>
          <w:rFonts w:hint="eastAsia" w:ascii="仿宋_GB2312" w:eastAsia="仿宋_GB2312"/>
          <w:sz w:val="32"/>
          <w:szCs w:val="32"/>
        </w:rPr>
      </w:pPr>
    </w:p>
    <w:p>
      <w:pPr>
        <w:jc w:val="center"/>
        <w:rPr>
          <w:rFonts w:hint="eastAsia" w:ascii="仿宋_GB2312" w:eastAsia="仿宋_GB2312"/>
          <w:sz w:val="32"/>
          <w:szCs w:val="32"/>
        </w:rPr>
      </w:pPr>
    </w:p>
    <w:p>
      <w:pPr>
        <w:jc w:val="center"/>
        <w:rPr>
          <w:rFonts w:ascii="仿宋_GB2312" w:eastAsia="仿宋_GB2312"/>
          <w:sz w:val="32"/>
          <w:szCs w:val="32"/>
        </w:rPr>
      </w:pPr>
      <w:r>
        <w:rPr>
          <w:rFonts w:hint="eastAsia" w:ascii="仿宋_GB2312" w:eastAsia="仿宋_GB2312"/>
          <w:sz w:val="32"/>
          <w:szCs w:val="32"/>
        </w:rPr>
        <w:t>青民发字〔2019〕36号</w:t>
      </w:r>
    </w:p>
    <w:p>
      <w:pPr>
        <w:rPr>
          <w:rFonts w:ascii="仿宋_GB2312" w:eastAsia="仿宋_GB2312"/>
          <w:sz w:val="32"/>
          <w:szCs w:val="32"/>
        </w:rPr>
      </w:pPr>
      <w:r>
        <w:rPr>
          <w:rFonts w:ascii="仿宋_GB2312" w:eastAsia="仿宋_GB2312"/>
          <w:sz w:val="32"/>
          <w:szCs w:val="32"/>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122555</wp:posOffset>
                </wp:positionV>
                <wp:extent cx="5615940" cy="0"/>
                <wp:effectExtent l="0" t="9525" r="3810" b="9525"/>
                <wp:wrapNone/>
                <wp:docPr id="1" name="直线 2"/>
                <wp:cNvGraphicFramePr/>
                <a:graphic xmlns:a="http://schemas.openxmlformats.org/drawingml/2006/main">
                  <a:graphicData uri="http://schemas.microsoft.com/office/word/2010/wordprocessingShape">
                    <wps:wsp>
                      <wps:cNvSpPr/>
                      <wps:spPr>
                        <a:xfrm>
                          <a:off x="0" y="0"/>
                          <a:ext cx="5615940" cy="0"/>
                        </a:xfrm>
                        <a:prstGeom prst="line">
                          <a:avLst/>
                        </a:prstGeom>
                        <a:ln w="19050" cap="flat" cmpd="sng">
                          <a:solidFill>
                            <a:srgbClr val="FF0000"/>
                          </a:solidFill>
                          <a:prstDash val="solid"/>
                          <a:headEnd type="none" w="med" len="med"/>
                          <a:tailEnd type="none" w="med" len="med"/>
                        </a:ln>
                      </wps:spPr>
                      <wps:bodyPr upright="1"/>
                    </wps:wsp>
                  </a:graphicData>
                </a:graphic>
              </wp:anchor>
            </w:drawing>
          </mc:Choice>
          <mc:Fallback>
            <w:pict>
              <v:line id="直线 2" o:spid="_x0000_s1026" o:spt="20" style="position:absolute;left:0pt;margin-left:0pt;margin-top:9.65pt;height:0pt;width:442.2pt;z-index:251660288;mso-width-relative:page;mso-height-relative:page;" filled="f" stroked="t" coordsize="21600,21600" o:gfxdata="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&#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tlDE4dUAAAAGAQAADwAAAAAAAAABACAAAAAiAAAAZHJz&#10;L2Rvd25yZXYueG1sUEsBAhQAFAAAAAgAh07iQCP9ysPOAQAAjgMAAA4AAAAAAAAAAQAgAAAAJAEA&#10;AGRycy9lMm9Eb2MueG1sUEsFBgAAAAAGAAYAWQEAAGQFAAAAAA==&#10;">
                <v:fill on="f" focussize="0,0"/>
                <v:stroke weight="1.5pt" color="#FF0000" joinstyle="round"/>
                <v:imagedata o:title=""/>
                <o:lock v:ext="edit" aspectratio="f"/>
              </v:line>
            </w:pict>
          </mc:Fallback>
        </mc:AlternateContent>
      </w:r>
    </w:p>
    <w:p>
      <w:pPr>
        <w:adjustRightInd w:val="0"/>
        <w:snapToGrid w:val="0"/>
        <w:jc w:val="center"/>
        <w:rPr>
          <w:rFonts w:hint="eastAsia" w:ascii="方正小标宋_GBK" w:eastAsia="方正小标宋_GBK"/>
          <w:sz w:val="44"/>
          <w:szCs w:val="44"/>
        </w:rPr>
      </w:pPr>
      <w:r>
        <w:rPr>
          <w:rFonts w:hint="eastAsia" w:ascii="方正小标宋_GBK" w:eastAsia="方正小标宋_GBK"/>
          <w:sz w:val="44"/>
          <w:szCs w:val="44"/>
        </w:rPr>
        <w:t xml:space="preserve">青岛市民营经济发展局  </w:t>
      </w:r>
    </w:p>
    <w:p>
      <w:pPr>
        <w:adjustRightInd w:val="0"/>
        <w:snapToGrid w:val="0"/>
        <w:jc w:val="center"/>
        <w:rPr>
          <w:rFonts w:hint="eastAsia" w:ascii="方正小标宋_GBK" w:eastAsia="方正小标宋_GBK"/>
          <w:sz w:val="44"/>
          <w:szCs w:val="44"/>
        </w:rPr>
      </w:pPr>
      <w:r>
        <w:rPr>
          <w:rFonts w:ascii="方正小标宋_GBK" w:eastAsia="方正小标宋_GBK"/>
          <w:sz w:val="44"/>
          <w:szCs w:val="44"/>
        </w:rPr>
        <mc:AlternateContent>
          <mc:Choice Requires="wps">
            <w:drawing>
              <wp:anchor distT="0" distB="0" distL="114300" distR="114300" simplePos="0" relativeHeight="251664384" behindDoc="0" locked="0" layoutInCell="1" allowOverlap="1">
                <wp:simplePos x="0" y="0"/>
                <wp:positionH relativeFrom="column">
                  <wp:posOffset>1243330</wp:posOffset>
                </wp:positionH>
                <wp:positionV relativeFrom="paragraph">
                  <wp:posOffset>12700</wp:posOffset>
                </wp:positionV>
                <wp:extent cx="3108325" cy="456565"/>
                <wp:effectExtent l="4445" t="4445" r="11430" b="15240"/>
                <wp:wrapNone/>
                <wp:docPr id="5" name="文本框 6"/>
                <wp:cNvGraphicFramePr/>
                <a:graphic xmlns:a="http://schemas.openxmlformats.org/drawingml/2006/main">
                  <a:graphicData uri="http://schemas.microsoft.com/office/word/2010/wordprocessingShape">
                    <wps:wsp>
                      <wps:cNvSpPr txBox="1"/>
                      <wps:spPr>
                        <a:xfrm>
                          <a:off x="0" y="0"/>
                          <a:ext cx="3108325" cy="456565"/>
                        </a:xfrm>
                        <a:prstGeom prst="rect">
                          <a:avLst/>
                        </a:prstGeom>
                        <a:solidFill>
                          <a:srgbClr val="FFFFFF"/>
                        </a:solidFill>
                        <a:ln w="9525" cap="flat" cmpd="sng">
                          <a:solidFill>
                            <a:srgbClr val="FFFFFF"/>
                          </a:solidFill>
                          <a:prstDash val="solid"/>
                          <a:miter/>
                          <a:headEnd type="none" w="med" len="med"/>
                          <a:tailEnd type="none" w="med" len="med"/>
                        </a:ln>
                      </wps:spPr>
                      <wps:txbx>
                        <w:txbxContent>
                          <w:p>
                            <w:pPr>
                              <w:jc w:val="distribute"/>
                              <w:rPr>
                                <w:rFonts w:hint="eastAsia" w:ascii="方正小标宋_GBK" w:eastAsia="方正小标宋_GBK"/>
                                <w:sz w:val="44"/>
                                <w:szCs w:val="44"/>
                              </w:rPr>
                            </w:pPr>
                            <w:r>
                              <w:rPr>
                                <w:rFonts w:hint="eastAsia" w:ascii="方正小标宋_GBK" w:eastAsia="方正小标宋_GBK"/>
                                <w:sz w:val="44"/>
                                <w:szCs w:val="44"/>
                              </w:rPr>
                              <w:t>青岛市财政局</w:t>
                            </w:r>
                          </w:p>
                        </w:txbxContent>
                      </wps:txbx>
                      <wps:bodyPr upright="1">
                        <a:spAutoFit/>
                      </wps:bodyPr>
                    </wps:wsp>
                  </a:graphicData>
                </a:graphic>
                <wp14:sizeRelH relativeFrom="margin">
                  <wp14:pctWidth>0</wp14:pctWidth>
                </wp14:sizeRelH>
                <wp14:sizeRelV relativeFrom="margin">
                  <wp14:pctHeight>20000</wp14:pctHeight>
                </wp14:sizeRelV>
              </wp:anchor>
            </w:drawing>
          </mc:Choice>
          <mc:Fallback>
            <w:pict>
              <v:shape id="文本框 6" o:spid="_x0000_s1026" o:spt="202" type="#_x0000_t202" style="position:absolute;left:0pt;margin-left:97.9pt;margin-top:1pt;height:35.95pt;width:244.75pt;z-index:251664384;mso-width-relative:margin;mso-height-relative:margin;mso-height-percent:200;" fillcolor="#FFFFFF" filled="t" stroked="t" coordsize="21600,21600" o:gfxdata="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HLBQqfZAAAACAEAAA8AAAAAAAAAAQAgAAAAIgAAAGRycy9kb3ducmV2LnhtbFBL&#10;AQIUABQAAAAIAIdO4kCRFC2C9QEAAAIEAAAOAAAAAAAAAAEAIAAAACgBAABkcnMvZTJvRG9jLnht&#10;bFBLBQYAAAAABgAGAFkBAACPBQAAAAA=&#10;">
                <v:fill on="t" focussize="0,0"/>
                <v:stroke color="#FFFFFF" joinstyle="miter"/>
                <v:imagedata o:title=""/>
                <o:lock v:ext="edit" aspectratio="f"/>
                <v:textbox style="mso-fit-shape-to-text:t;">
                  <w:txbxContent>
                    <w:p>
                      <w:pPr>
                        <w:jc w:val="distribute"/>
                        <w:rPr>
                          <w:rFonts w:hint="eastAsia" w:ascii="方正小标宋_GBK" w:eastAsia="方正小标宋_GBK"/>
                          <w:sz w:val="44"/>
                          <w:szCs w:val="44"/>
                        </w:rPr>
                      </w:pPr>
                      <w:r>
                        <w:rPr>
                          <w:rFonts w:hint="eastAsia" w:ascii="方正小标宋_GBK" w:eastAsia="方正小标宋_GBK"/>
                          <w:sz w:val="44"/>
                          <w:szCs w:val="44"/>
                        </w:rPr>
                        <w:t>青岛市财政局</w:t>
                      </w:r>
                    </w:p>
                  </w:txbxContent>
                </v:textbox>
              </v:shape>
            </w:pict>
          </mc:Fallback>
        </mc:AlternateContent>
      </w:r>
    </w:p>
    <w:p>
      <w:pPr>
        <w:adjustRightInd w:val="0"/>
        <w:snapToGrid w:val="0"/>
        <w:spacing w:beforeLines="100"/>
        <w:jc w:val="center"/>
        <w:rPr>
          <w:rFonts w:ascii="方正小标宋_GBK" w:eastAsia="方正小标宋_GBK"/>
          <w:sz w:val="44"/>
          <w:szCs w:val="44"/>
        </w:rPr>
      </w:pPr>
      <w:r>
        <w:rPr>
          <w:rFonts w:hint="eastAsia" w:ascii="方正小标宋_GBK" w:eastAsia="方正小标宋_GBK"/>
          <w:sz w:val="44"/>
          <w:szCs w:val="44"/>
        </w:rPr>
        <w:t>关于印发《青岛市培育和奖励隐形冠军企业、专精特新“小巨人”企业、瞪羚企业、独角兽企业实施方案（2019-2022年）》的通知</w:t>
      </w:r>
    </w:p>
    <w:p>
      <w:pPr>
        <w:widowControl/>
        <w:shd w:val="clear" w:color="auto" w:fill="FFFFFF"/>
        <w:adjustRightInd w:val="0"/>
        <w:snapToGrid w:val="0"/>
        <w:spacing w:line="520" w:lineRule="exact"/>
        <w:ind w:firstLine="640" w:firstLineChars="200"/>
        <w:rPr>
          <w:rFonts w:hint="eastAsia" w:ascii="仿宋_GB2312" w:hAnsi="仿宋" w:eastAsia="仿宋_GB2312"/>
          <w:sz w:val="32"/>
          <w:szCs w:val="32"/>
        </w:rPr>
      </w:pPr>
    </w:p>
    <w:p>
      <w:pPr>
        <w:widowControl/>
        <w:adjustRightInd w:val="0"/>
        <w:snapToGrid w:val="0"/>
        <w:spacing w:line="620" w:lineRule="exact"/>
        <w:jc w:val="left"/>
        <w:rPr>
          <w:rFonts w:hint="eastAsia" w:ascii="楷体_GB2312" w:hAnsi="仿宋" w:eastAsia="楷体_GB2312"/>
          <w:sz w:val="32"/>
          <w:szCs w:val="32"/>
        </w:rPr>
      </w:pPr>
      <w:r>
        <w:rPr>
          <w:rFonts w:hint="eastAsia" w:ascii="楷体_GB2312" w:hAnsi="仿宋" w:eastAsia="楷体_GB2312"/>
          <w:sz w:val="32"/>
          <w:szCs w:val="32"/>
        </w:rPr>
        <w:t xml:space="preserve">各区市民营经济（中小企业）主管部门、财政局：                   </w:t>
      </w:r>
    </w:p>
    <w:p>
      <w:pPr>
        <w:widowControl/>
        <w:adjustRightInd w:val="0"/>
        <w:snapToGrid w:val="0"/>
        <w:spacing w:line="620" w:lineRule="exact"/>
        <w:jc w:val="left"/>
        <w:rPr>
          <w:rFonts w:hint="eastAsia" w:ascii="楷体_GB2312" w:hAnsi="仿宋" w:eastAsia="楷体_GB2312"/>
          <w:sz w:val="32"/>
          <w:szCs w:val="32"/>
        </w:rPr>
      </w:pPr>
      <w:r>
        <w:rPr>
          <w:rFonts w:hint="eastAsia" w:ascii="楷体_GB2312" w:hAnsi="仿宋" w:eastAsia="楷体_GB2312"/>
          <w:sz w:val="32"/>
          <w:szCs w:val="32"/>
        </w:rPr>
        <w:t xml:space="preserve">    《青岛市培育和奖励隐形冠军企业、专精特新“小巨人”企</w:t>
      </w:r>
      <w:r>
        <w:rPr>
          <w:rFonts w:hint="eastAsia" w:ascii="楷体_GB2312" w:hAnsi="仿宋" w:eastAsia="楷体_GB2312"/>
          <w:spacing w:val="6"/>
          <w:sz w:val="32"/>
          <w:szCs w:val="32"/>
        </w:rPr>
        <w:t>业、瞪羚企业、独角兽企业实施方案（2019-2022年）》已经</w:t>
      </w:r>
    </w:p>
    <w:p>
      <w:pPr>
        <w:widowControl/>
        <w:adjustRightInd w:val="0"/>
        <w:snapToGrid w:val="0"/>
        <w:spacing w:line="620" w:lineRule="exact"/>
        <w:jc w:val="left"/>
        <w:rPr>
          <w:rFonts w:hint="eastAsia" w:ascii="楷体_GB2312" w:hAnsi="仿宋" w:eastAsia="楷体_GB2312"/>
          <w:sz w:val="32"/>
          <w:szCs w:val="32"/>
        </w:rPr>
      </w:pPr>
      <w:r>
        <w:rPr>
          <w:rFonts w:hint="eastAsia" w:ascii="楷体_GB2312" w:hAnsi="仿宋" w:eastAsia="楷体_GB2312"/>
          <w:sz w:val="32"/>
          <w:szCs w:val="32"/>
        </w:rPr>
        <w:t>市政府主要领导圈阅。现印发给你们，请结合实际认真贯彻落实。</w:t>
      </w:r>
    </w:p>
    <w:p>
      <w:pPr>
        <w:widowControl/>
        <w:adjustRightInd w:val="0"/>
        <w:snapToGrid w:val="0"/>
        <w:spacing w:line="620" w:lineRule="exact"/>
        <w:ind w:firstLine="640" w:firstLineChars="200"/>
        <w:jc w:val="left"/>
        <w:rPr>
          <w:rFonts w:hint="eastAsia" w:ascii="楷体_GB2312" w:hAnsi="仿宋" w:eastAsia="楷体_GB2312"/>
          <w:sz w:val="32"/>
          <w:szCs w:val="32"/>
        </w:rPr>
      </w:pPr>
    </w:p>
    <w:p>
      <w:pPr>
        <w:widowControl/>
        <w:adjustRightInd w:val="0"/>
        <w:snapToGrid w:val="0"/>
        <w:spacing w:line="620" w:lineRule="exact"/>
        <w:ind w:firstLine="640" w:firstLineChars="200"/>
        <w:jc w:val="left"/>
        <w:rPr>
          <w:rFonts w:hint="eastAsia" w:ascii="楷体_GB2312" w:hAnsi="仿宋" w:eastAsia="楷体_GB2312"/>
          <w:sz w:val="32"/>
          <w:szCs w:val="32"/>
        </w:rPr>
      </w:pPr>
    </w:p>
    <w:p>
      <w:pPr>
        <w:widowControl/>
        <w:adjustRightInd w:val="0"/>
        <w:snapToGrid w:val="0"/>
        <w:spacing w:line="620" w:lineRule="exact"/>
        <w:ind w:firstLine="640" w:firstLineChars="200"/>
        <w:jc w:val="left"/>
        <w:rPr>
          <w:rFonts w:hint="eastAsia" w:ascii="楷体_GB2312" w:hAnsi="仿宋" w:eastAsia="楷体_GB2312"/>
          <w:sz w:val="32"/>
          <w:szCs w:val="32"/>
        </w:rPr>
      </w:pPr>
      <w:r>
        <w:rPr>
          <w:rFonts w:hint="eastAsia" w:ascii="楷体_GB2312" w:hAnsi="仿宋" w:eastAsia="楷体_GB2312"/>
          <w:sz w:val="32"/>
          <w:szCs w:val="32"/>
        </w:rPr>
        <w:t>青岛市民营经济发展局            青岛市财政局</w:t>
      </w:r>
    </w:p>
    <w:p>
      <w:pPr>
        <w:widowControl/>
        <w:adjustRightInd w:val="0"/>
        <w:snapToGrid w:val="0"/>
        <w:spacing w:line="620" w:lineRule="exact"/>
        <w:ind w:firstLine="640" w:firstLineChars="200"/>
        <w:jc w:val="left"/>
        <w:rPr>
          <w:rFonts w:hint="eastAsia" w:ascii="楷体_GB2312" w:hAnsi="仿宋" w:eastAsia="楷体_GB2312"/>
          <w:sz w:val="32"/>
          <w:szCs w:val="32"/>
        </w:rPr>
      </w:pPr>
      <w:r>
        <w:rPr>
          <w:rFonts w:hint="eastAsia" w:ascii="楷体_GB2312" w:hAnsi="仿宋" w:eastAsia="楷体_GB2312"/>
          <w:sz w:val="32"/>
          <w:szCs w:val="32"/>
        </w:rPr>
        <w:t xml:space="preserve">                              2019年12月2日</w:t>
      </w:r>
    </w:p>
    <w:p>
      <w:pPr>
        <w:widowControl/>
        <w:adjustRightInd w:val="0"/>
        <w:snapToGrid w:val="0"/>
        <w:spacing w:line="620" w:lineRule="exact"/>
        <w:ind w:firstLine="640" w:firstLineChars="200"/>
        <w:jc w:val="left"/>
        <w:rPr>
          <w:rFonts w:hint="eastAsia" w:ascii="楷体_GB2312" w:hAnsi="仿宋" w:eastAsia="楷体_GB2312"/>
          <w:sz w:val="32"/>
          <w:szCs w:val="32"/>
        </w:rPr>
      </w:pPr>
    </w:p>
    <w:p>
      <w:pPr>
        <w:widowControl/>
        <w:adjustRightInd w:val="0"/>
        <w:snapToGrid w:val="0"/>
        <w:spacing w:line="620" w:lineRule="exact"/>
        <w:ind w:firstLine="640" w:firstLineChars="200"/>
        <w:jc w:val="left"/>
        <w:rPr>
          <w:rFonts w:hint="eastAsia" w:ascii="楷体_GB2312" w:hAnsi="仿宋" w:eastAsia="楷体_GB2312"/>
          <w:sz w:val="32"/>
          <w:szCs w:val="32"/>
        </w:rPr>
      </w:pPr>
    </w:p>
    <w:p>
      <w:pPr>
        <w:widowControl/>
        <w:adjustRightInd w:val="0"/>
        <w:snapToGrid w:val="0"/>
        <w:spacing w:line="620" w:lineRule="exact"/>
        <w:ind w:firstLine="640" w:firstLineChars="200"/>
        <w:jc w:val="left"/>
        <w:rPr>
          <w:rFonts w:hint="eastAsia" w:ascii="楷体_GB2312" w:hAnsi="仿宋" w:eastAsia="楷体_GB2312"/>
          <w:sz w:val="32"/>
          <w:szCs w:val="32"/>
        </w:rPr>
      </w:pPr>
    </w:p>
    <w:p>
      <w:pPr>
        <w:widowControl/>
        <w:adjustRightInd w:val="0"/>
        <w:snapToGrid w:val="0"/>
        <w:spacing w:line="620" w:lineRule="exact"/>
        <w:ind w:firstLine="640" w:firstLineChars="200"/>
        <w:jc w:val="left"/>
        <w:rPr>
          <w:rFonts w:hint="eastAsia" w:ascii="楷体_GB2312" w:hAnsi="仿宋" w:eastAsia="楷体_GB2312"/>
          <w:sz w:val="32"/>
          <w:szCs w:val="32"/>
        </w:rPr>
      </w:pPr>
    </w:p>
    <w:p>
      <w:pPr>
        <w:widowControl/>
        <w:adjustRightInd w:val="0"/>
        <w:snapToGrid w:val="0"/>
        <w:spacing w:line="620" w:lineRule="exact"/>
        <w:ind w:firstLine="640" w:firstLineChars="200"/>
        <w:jc w:val="left"/>
        <w:rPr>
          <w:rFonts w:hint="eastAsia" w:ascii="楷体_GB2312" w:hAnsi="仿宋" w:eastAsia="楷体_GB2312"/>
          <w:sz w:val="32"/>
          <w:szCs w:val="32"/>
        </w:rPr>
      </w:pPr>
    </w:p>
    <w:p>
      <w:pPr>
        <w:widowControl/>
        <w:adjustRightInd w:val="0"/>
        <w:snapToGrid w:val="0"/>
        <w:spacing w:line="620" w:lineRule="exact"/>
        <w:ind w:firstLine="640" w:firstLineChars="200"/>
        <w:jc w:val="left"/>
        <w:rPr>
          <w:rFonts w:hint="eastAsia" w:ascii="楷体_GB2312" w:hAnsi="仿宋" w:eastAsia="楷体_GB2312"/>
          <w:sz w:val="32"/>
          <w:szCs w:val="32"/>
        </w:rPr>
      </w:pPr>
    </w:p>
    <w:p>
      <w:pPr>
        <w:widowControl/>
        <w:adjustRightInd w:val="0"/>
        <w:snapToGrid w:val="0"/>
        <w:spacing w:line="620" w:lineRule="exact"/>
        <w:ind w:firstLine="640" w:firstLineChars="200"/>
        <w:jc w:val="left"/>
        <w:rPr>
          <w:rFonts w:hint="eastAsia" w:ascii="楷体_GB2312" w:hAnsi="仿宋" w:eastAsia="楷体_GB2312"/>
          <w:sz w:val="32"/>
          <w:szCs w:val="32"/>
        </w:rPr>
      </w:pPr>
    </w:p>
    <w:p>
      <w:pPr>
        <w:widowControl/>
        <w:adjustRightInd w:val="0"/>
        <w:snapToGrid w:val="0"/>
        <w:spacing w:line="620" w:lineRule="exact"/>
        <w:ind w:firstLine="640" w:firstLineChars="200"/>
        <w:jc w:val="left"/>
        <w:rPr>
          <w:rFonts w:hint="eastAsia" w:ascii="仿宋_GB2312" w:hAnsi="仿宋" w:eastAsia="仿宋_GB2312"/>
          <w:sz w:val="32"/>
          <w:szCs w:val="32"/>
        </w:rPr>
      </w:pPr>
    </w:p>
    <w:p>
      <w:pPr>
        <w:widowControl/>
        <w:adjustRightInd w:val="0"/>
        <w:snapToGrid w:val="0"/>
        <w:spacing w:line="620" w:lineRule="exact"/>
        <w:ind w:firstLine="640" w:firstLineChars="200"/>
        <w:jc w:val="left"/>
        <w:rPr>
          <w:rFonts w:hint="eastAsia" w:ascii="仿宋_GB2312" w:hAnsi="仿宋" w:eastAsia="仿宋_GB2312"/>
          <w:sz w:val="32"/>
          <w:szCs w:val="32"/>
        </w:rPr>
      </w:pPr>
    </w:p>
    <w:p>
      <w:pPr>
        <w:widowControl/>
        <w:adjustRightInd w:val="0"/>
        <w:snapToGrid w:val="0"/>
        <w:spacing w:line="620" w:lineRule="exact"/>
        <w:ind w:firstLine="640" w:firstLineChars="200"/>
        <w:jc w:val="left"/>
        <w:rPr>
          <w:rFonts w:hint="eastAsia" w:ascii="仿宋_GB2312" w:hAnsi="仿宋" w:eastAsia="仿宋_GB2312"/>
          <w:sz w:val="32"/>
          <w:szCs w:val="32"/>
        </w:rPr>
      </w:pPr>
    </w:p>
    <w:p>
      <w:pPr>
        <w:widowControl/>
        <w:adjustRightInd w:val="0"/>
        <w:snapToGrid w:val="0"/>
        <w:spacing w:line="620" w:lineRule="exact"/>
        <w:ind w:firstLine="640" w:firstLineChars="200"/>
        <w:jc w:val="left"/>
        <w:rPr>
          <w:rFonts w:hint="eastAsia" w:ascii="仿宋_GB2312" w:hAnsi="仿宋" w:eastAsia="仿宋_GB2312"/>
          <w:sz w:val="32"/>
          <w:szCs w:val="32"/>
        </w:rPr>
      </w:pPr>
    </w:p>
    <w:p>
      <w:pPr>
        <w:widowControl/>
        <w:adjustRightInd w:val="0"/>
        <w:snapToGrid w:val="0"/>
        <w:spacing w:line="620" w:lineRule="exact"/>
        <w:ind w:firstLine="640" w:firstLineChars="200"/>
        <w:jc w:val="left"/>
        <w:rPr>
          <w:rFonts w:hint="eastAsia" w:ascii="仿宋_GB2312" w:hAnsi="仿宋" w:eastAsia="仿宋_GB2312"/>
          <w:sz w:val="32"/>
          <w:szCs w:val="32"/>
        </w:rPr>
      </w:pPr>
    </w:p>
    <w:p>
      <w:pPr>
        <w:widowControl/>
        <w:adjustRightInd w:val="0"/>
        <w:snapToGrid w:val="0"/>
        <w:spacing w:line="620" w:lineRule="exact"/>
        <w:ind w:firstLine="640" w:firstLineChars="200"/>
        <w:jc w:val="left"/>
        <w:rPr>
          <w:rFonts w:hint="eastAsia" w:ascii="仿宋_GB2312" w:hAnsi="仿宋" w:eastAsia="仿宋_GB2312"/>
          <w:sz w:val="32"/>
          <w:szCs w:val="32"/>
        </w:rPr>
      </w:pPr>
    </w:p>
    <w:p>
      <w:pPr>
        <w:widowControl/>
        <w:adjustRightInd w:val="0"/>
        <w:snapToGrid w:val="0"/>
        <w:spacing w:line="620" w:lineRule="exact"/>
        <w:ind w:firstLine="640" w:firstLineChars="200"/>
        <w:jc w:val="left"/>
        <w:rPr>
          <w:rFonts w:hint="eastAsia" w:ascii="仿宋_GB2312" w:hAnsi="仿宋" w:eastAsia="仿宋_GB2312"/>
          <w:sz w:val="32"/>
          <w:szCs w:val="32"/>
        </w:rPr>
      </w:pPr>
    </w:p>
    <w:p>
      <w:pPr>
        <w:spacing w:line="640" w:lineRule="exact"/>
        <w:ind w:right="-71" w:rightChars="-34"/>
        <w:jc w:val="center"/>
        <w:rPr>
          <w:rFonts w:hint="eastAsia" w:ascii="方正小标宋_GBK" w:hAnsi="??" w:eastAsia="方正小标宋_GBK" w:cs="宋体"/>
          <w:spacing w:val="-30"/>
          <w:kern w:val="0"/>
          <w:sz w:val="44"/>
          <w:szCs w:val="44"/>
        </w:rPr>
      </w:pPr>
    </w:p>
    <w:p>
      <w:pPr>
        <w:spacing w:line="640" w:lineRule="exact"/>
        <w:ind w:right="-71" w:rightChars="-34"/>
        <w:jc w:val="center"/>
        <w:rPr>
          <w:rFonts w:hint="eastAsia" w:ascii="方正小标宋_GBK" w:hAnsi="??" w:eastAsia="方正小标宋_GBK" w:cs="宋体"/>
          <w:spacing w:val="-30"/>
          <w:kern w:val="0"/>
          <w:sz w:val="44"/>
          <w:szCs w:val="44"/>
        </w:rPr>
      </w:pPr>
    </w:p>
    <w:p>
      <w:pPr>
        <w:spacing w:line="640" w:lineRule="exact"/>
        <w:ind w:right="-71" w:rightChars="-34"/>
        <w:jc w:val="center"/>
        <w:rPr>
          <w:rFonts w:hint="eastAsia" w:ascii="方正小标宋_GBK" w:hAnsi="??" w:eastAsia="方正小标宋_GBK" w:cs="宋体"/>
          <w:spacing w:val="-30"/>
          <w:kern w:val="0"/>
          <w:sz w:val="44"/>
          <w:szCs w:val="44"/>
        </w:rPr>
      </w:pPr>
    </w:p>
    <w:p>
      <w:pPr>
        <w:spacing w:line="640" w:lineRule="exact"/>
        <w:ind w:right="-71" w:rightChars="-34"/>
        <w:jc w:val="center"/>
        <w:rPr>
          <w:rFonts w:ascii="方正小标宋_GBK" w:hAnsi="??" w:eastAsia="方正小标宋_GBK" w:cs="宋体"/>
          <w:spacing w:val="-30"/>
          <w:kern w:val="0"/>
          <w:sz w:val="44"/>
          <w:szCs w:val="44"/>
        </w:rPr>
      </w:pPr>
      <w:r>
        <w:rPr>
          <w:rFonts w:hint="eastAsia" w:ascii="方正小标宋_GBK" w:hAnsi="??" w:eastAsia="方正小标宋_GBK" w:cs="宋体"/>
          <w:spacing w:val="-30"/>
          <w:kern w:val="0"/>
          <w:sz w:val="44"/>
          <w:szCs w:val="44"/>
        </w:rPr>
        <w:t>青岛市培育和奖励隐形冠军企业、专精特新“小巨人”企业、瞪羚企业、独角兽企业实施方案（2019-2022年）</w:t>
      </w:r>
    </w:p>
    <w:p>
      <w:pPr>
        <w:widowControl/>
        <w:adjustRightInd w:val="0"/>
        <w:snapToGrid w:val="0"/>
        <w:spacing w:line="620" w:lineRule="exact"/>
        <w:ind w:firstLine="640" w:firstLineChars="200"/>
        <w:jc w:val="left"/>
        <w:rPr>
          <w:rFonts w:hint="eastAsia" w:ascii="仿宋_GB2312" w:hAnsi="仿宋" w:eastAsia="仿宋_GB2312"/>
          <w:sz w:val="32"/>
          <w:szCs w:val="32"/>
        </w:rPr>
      </w:pPr>
    </w:p>
    <w:p>
      <w:pPr>
        <w:widowControl/>
        <w:adjustRightInd w:val="0"/>
        <w:snapToGrid w:val="0"/>
        <w:spacing w:line="560" w:lineRule="exact"/>
        <w:ind w:firstLine="640" w:firstLineChars="200"/>
        <w:jc w:val="left"/>
        <w:rPr>
          <w:rFonts w:ascii="仿宋_GB2312" w:hAnsi="仿宋" w:eastAsia="仿宋_GB2312"/>
          <w:sz w:val="32"/>
          <w:szCs w:val="32"/>
        </w:rPr>
      </w:pPr>
      <w:r>
        <w:rPr>
          <w:rFonts w:hint="eastAsia" w:ascii="仿宋_GB2312" w:hAnsi="仿宋" w:eastAsia="仿宋_GB2312"/>
          <w:sz w:val="32"/>
          <w:szCs w:val="32"/>
        </w:rPr>
        <w:t>为加快推进新旧动能转换重大工程和壮大民营经济攻势，加强对企业创新发展的支持，引导激发企业以创新为引领不断实现“工匠式”“专精特新式”“跳跃式”和“爆发式”发展，成为我市创新发展的新引擎和经济增长的新动能，决定在全市范围内开展隐形冠军企业、专精特新“小巨人”企业、瞪羚企业、（准）独角兽企业培育和奖励工作。</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一、主要目标</w:t>
      </w:r>
    </w:p>
    <w:p>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组建青岛市优势高成长企业培育库，建立健全分层孵化体系，构建企业从专精特新到细分市场隐形冠军、从隐形冠军到“小巨人”，从瞪羚到独角兽的成长培育机制，打造一批创新发展的标杆型企业，树立青岛企业高质量发展新典范。</w:t>
      </w:r>
    </w:p>
    <w:p>
      <w:pPr>
        <w:pStyle w:val="14"/>
        <w:spacing w:before="0" w:beforeAutospacing="0" w:after="0" w:afterAutospacing="0" w:line="560" w:lineRule="exact"/>
        <w:ind w:firstLine="646"/>
        <w:jc w:val="both"/>
        <w:rPr>
          <w:rFonts w:ascii="楷体_GB2312" w:hAnsi="仿宋" w:eastAsia="楷体_GB2312"/>
          <w:sz w:val="32"/>
          <w:szCs w:val="32"/>
        </w:rPr>
      </w:pPr>
      <w:r>
        <w:rPr>
          <w:rFonts w:hint="eastAsia" w:ascii="楷体_GB2312" w:hAnsi="仿宋" w:eastAsia="楷体_GB2312"/>
          <w:sz w:val="32"/>
          <w:szCs w:val="32"/>
        </w:rPr>
        <w:t>（一）培育隐形冠军企业</w:t>
      </w:r>
    </w:p>
    <w:p>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培育长期专注并深耕于某一细分行业的产品研发和生产，形成显著竞争优势和创新能力，走“工匠式”发展之路，在细分市场占有率占据国内乃至国际前列的企业。到2022年，全市纳入隐形冠军企业培育库的企业数力争达到200家以上，力争新增培育60家以上青岛市隐形冠军企业。</w:t>
      </w:r>
    </w:p>
    <w:p>
      <w:pPr>
        <w:pStyle w:val="14"/>
        <w:spacing w:before="0" w:beforeAutospacing="0" w:after="0" w:afterAutospacing="0" w:line="560" w:lineRule="exact"/>
        <w:ind w:firstLine="646"/>
        <w:jc w:val="both"/>
        <w:rPr>
          <w:rFonts w:ascii="楷体_GB2312" w:hAnsi="仿宋" w:eastAsia="楷体_GB2312"/>
          <w:sz w:val="32"/>
          <w:szCs w:val="32"/>
        </w:rPr>
      </w:pPr>
      <w:r>
        <w:rPr>
          <w:rFonts w:hint="eastAsia" w:ascii="楷体_GB2312" w:hAnsi="仿宋" w:eastAsia="楷体_GB2312"/>
          <w:sz w:val="32"/>
          <w:szCs w:val="32"/>
        </w:rPr>
        <w:t>（二）培育专精特新“小巨人”企业</w:t>
      </w:r>
    </w:p>
    <w:p>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培育专注于细分市场、创新能力强、市场占有率高、掌握关键核心技术、质量效益优的专精特新排头兵企业。到2022年，全市纳入专精特新“小巨人”企业培育库的企业数力争达到100家以上，力争新增培育15家以上工信部专精特新“小巨人”企业。</w:t>
      </w:r>
    </w:p>
    <w:p>
      <w:pPr>
        <w:pStyle w:val="14"/>
        <w:spacing w:before="0" w:beforeAutospacing="0" w:after="0" w:afterAutospacing="0" w:line="560" w:lineRule="exact"/>
        <w:ind w:firstLine="646"/>
        <w:jc w:val="both"/>
        <w:rPr>
          <w:rFonts w:ascii="楷体_GB2312" w:hAnsi="仿宋" w:eastAsia="楷体_GB2312"/>
          <w:sz w:val="32"/>
          <w:szCs w:val="32"/>
        </w:rPr>
      </w:pPr>
      <w:r>
        <w:rPr>
          <w:rFonts w:hint="eastAsia" w:ascii="楷体_GB2312" w:hAnsi="仿宋" w:eastAsia="楷体_GB2312"/>
          <w:sz w:val="32"/>
          <w:szCs w:val="32"/>
        </w:rPr>
        <w:t>（三）培育瞪羚企业</w:t>
      </w:r>
    </w:p>
    <w:p>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培育以科技创新或业态、模式创新为支撑，进入高成长期，实现“跳跃式”发展的企业。到2022年，全市纳入瞪羚企业培育库的企业数力争达到300家以上，力争新增培育80家以上山东省瞪羚企业。</w:t>
      </w:r>
    </w:p>
    <w:p>
      <w:pPr>
        <w:pStyle w:val="14"/>
        <w:spacing w:before="0" w:beforeAutospacing="0" w:after="0" w:afterAutospacing="0" w:line="560" w:lineRule="exact"/>
        <w:ind w:firstLine="646"/>
        <w:jc w:val="both"/>
        <w:rPr>
          <w:rFonts w:ascii="楷体_GB2312" w:hAnsi="仿宋" w:eastAsia="楷体_GB2312"/>
          <w:sz w:val="32"/>
          <w:szCs w:val="32"/>
        </w:rPr>
      </w:pPr>
      <w:r>
        <w:rPr>
          <w:rFonts w:hint="eastAsia" w:ascii="楷体_GB2312" w:hAnsi="仿宋" w:eastAsia="楷体_GB2312"/>
          <w:sz w:val="32"/>
          <w:szCs w:val="32"/>
        </w:rPr>
        <w:t>（四）培育独角兽企业</w:t>
      </w:r>
    </w:p>
    <w:p>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培育在新产业、新技术、新业态、新模式领域，发展速度快，在较短时期(3-5年)内具有“爆发式”成长潜质的企业。到2022年，全市纳入独角兽企业培育库的企业数力争达到50家以上，力争新增培育5家以上山东省（准）独角兽企业。</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二、培育范围和入库条件</w:t>
      </w:r>
    </w:p>
    <w:p>
      <w:pPr>
        <w:pStyle w:val="14"/>
        <w:spacing w:before="0" w:beforeAutospacing="0" w:after="0" w:afterAutospacing="0" w:line="560" w:lineRule="exact"/>
        <w:ind w:firstLine="646"/>
        <w:jc w:val="both"/>
        <w:rPr>
          <w:rFonts w:ascii="楷体_GB2312" w:hAnsi="仿宋" w:eastAsia="楷体_GB2312"/>
          <w:sz w:val="32"/>
          <w:szCs w:val="32"/>
        </w:rPr>
      </w:pPr>
      <w:r>
        <w:rPr>
          <w:rFonts w:hint="eastAsia" w:ascii="楷体_GB2312" w:hAnsi="仿宋" w:eastAsia="楷体_GB2312"/>
          <w:sz w:val="32"/>
          <w:szCs w:val="32"/>
        </w:rPr>
        <w:t>（一）隐形冠军企业培育范围及入库条件</w:t>
      </w:r>
    </w:p>
    <w:p>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1.隐形冠军企业培育范围</w:t>
      </w:r>
    </w:p>
    <w:p>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（1）在我市辖区内依法设立、经营，具有独立法人资格的制造业中小企业。生产经营、纳税和信用情况良好，无违法记录、无重大安全事故。</w:t>
      </w:r>
    </w:p>
    <w:p>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（2）产业领域符合我市</w:t>
      </w:r>
      <w:r>
        <w:rPr>
          <w:rFonts w:hint="eastAsia" w:ascii="仿宋_GB2312" w:hAnsi="Verdana" w:eastAsia="仿宋_GB2312"/>
          <w:sz w:val="32"/>
          <w:szCs w:val="32"/>
        </w:rPr>
        <w:t>《关于推进新旧动能转换重大工程的实施意见》中“新旧动能转换产业新体系”包括的现代海洋、智能家电、轨道交通装备、汽车制造、新一代信息技术、生物医药、高端装备、节能环保、食品饮料、纺织服装、机械设备、橡胶化工等工业领域重点发展方向</w:t>
      </w:r>
      <w:r>
        <w:rPr>
          <w:rFonts w:hint="eastAsia" w:ascii="仿宋_GB2312" w:hAnsi="仿宋" w:eastAsia="仿宋_GB2312"/>
          <w:sz w:val="32"/>
          <w:szCs w:val="32"/>
        </w:rPr>
        <w:t>。</w:t>
      </w:r>
    </w:p>
    <w:p>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2.隐形冠军企业培育库入库条件</w:t>
      </w:r>
    </w:p>
    <w:p>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（1）经济效益指标</w:t>
      </w:r>
    </w:p>
    <w:p>
      <w:pPr>
        <w:adjustRightInd w:val="0"/>
        <w:snapToGrid w:val="0"/>
        <w:spacing w:line="560" w:lineRule="exact"/>
        <w:ind w:firstLine="640" w:firstLineChars="200"/>
        <w:rPr>
          <w:rFonts w:ascii="仿宋_GB2312" w:eastAsia="仿宋_GB2312"/>
          <w:sz w:val="32"/>
          <w:szCs w:val="32"/>
        </w:rPr>
      </w:pPr>
      <w:r>
        <w:rPr>
          <w:rFonts w:hint="eastAsia" w:ascii="仿宋_GB2312" w:eastAsia="仿宋_GB2312"/>
          <w:sz w:val="32"/>
          <w:szCs w:val="32"/>
        </w:rPr>
        <w:t>企业近2年年均主营业务收入1000万元以上，主营业务收入或销售利润率逐年递增，年均资产负债率低于65%。</w:t>
      </w:r>
    </w:p>
    <w:p>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（2）专业化指标</w:t>
      </w:r>
    </w:p>
    <w:p>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企业从事特定细分市场时间达到2年及以上且上一年度细分产品市场占有率位居全国前10位或全省前3位，或为所属业务领域国家级行业协会（学会）理事及以上单位。</w:t>
      </w:r>
    </w:p>
    <w:p>
      <w:pPr>
        <w:pStyle w:val="14"/>
        <w:spacing w:before="0" w:beforeAutospacing="0" w:after="0" w:afterAutospacing="0" w:line="560" w:lineRule="exact"/>
        <w:ind w:firstLine="646"/>
        <w:jc w:val="both"/>
        <w:rPr>
          <w:rFonts w:ascii="仿宋_GB2312" w:eastAsia="仿宋_GB2312"/>
          <w:sz w:val="32"/>
          <w:szCs w:val="32"/>
        </w:rPr>
      </w:pPr>
      <w:r>
        <w:rPr>
          <w:rFonts w:hint="eastAsia" w:ascii="仿宋_GB2312" w:eastAsia="仿宋_GB2312"/>
          <w:sz w:val="32"/>
          <w:szCs w:val="32"/>
        </w:rPr>
        <w:t>（3）创新性指标</w:t>
      </w:r>
    </w:p>
    <w:p>
      <w:pPr>
        <w:pStyle w:val="14"/>
        <w:spacing w:before="0" w:beforeAutospacing="0" w:after="0" w:afterAutospacing="0" w:line="560" w:lineRule="exact"/>
        <w:ind w:firstLine="646"/>
        <w:jc w:val="both"/>
        <w:rPr>
          <w:rFonts w:ascii="仿宋_GB2312" w:eastAsia="仿宋_GB2312"/>
          <w:sz w:val="32"/>
          <w:szCs w:val="32"/>
        </w:rPr>
      </w:pPr>
      <w:r>
        <w:rPr>
          <w:rFonts w:hint="eastAsia" w:ascii="仿宋_GB2312" w:eastAsia="仿宋_GB2312"/>
          <w:sz w:val="32"/>
          <w:szCs w:val="32"/>
        </w:rPr>
        <w:t>企业细分产品技术水平达到国内同类产品领先水平，且</w:t>
      </w:r>
      <w:r>
        <w:rPr>
          <w:rFonts w:hint="eastAsia" w:ascii="仿宋_GB2312" w:hAnsi="仿宋_GB2312" w:eastAsia="仿宋_GB2312" w:cs="仿宋_GB2312"/>
          <w:sz w:val="32"/>
          <w:szCs w:val="32"/>
        </w:rPr>
        <w:t>拥有专利或软件著作权等核心自主知识产权；近两年</w:t>
      </w:r>
      <w:r>
        <w:rPr>
          <w:rFonts w:hint="eastAsia" w:ascii="仿宋_GB2312" w:eastAsia="仿宋_GB2312"/>
          <w:sz w:val="32"/>
          <w:szCs w:val="32"/>
        </w:rPr>
        <w:t>年均研发投入占销售收入的比例达到2%以上（含）。</w:t>
      </w:r>
    </w:p>
    <w:p>
      <w:pPr>
        <w:pStyle w:val="14"/>
        <w:spacing w:before="0" w:beforeAutospacing="0" w:after="0" w:afterAutospacing="0" w:line="560" w:lineRule="exact"/>
        <w:ind w:firstLine="646"/>
        <w:jc w:val="both"/>
        <w:rPr>
          <w:rFonts w:ascii="楷体_GB2312" w:hAnsi="仿宋" w:eastAsia="楷体_GB2312"/>
          <w:sz w:val="32"/>
          <w:szCs w:val="32"/>
        </w:rPr>
      </w:pPr>
      <w:r>
        <w:rPr>
          <w:rFonts w:hint="eastAsia" w:ascii="楷体_GB2312" w:hAnsi="仿宋" w:eastAsia="楷体_GB2312"/>
          <w:sz w:val="32"/>
          <w:szCs w:val="32"/>
        </w:rPr>
        <w:t>（二）专精特新“小巨人”企业培育范围及入库条件</w:t>
      </w:r>
    </w:p>
    <w:p>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1.专精特新“小巨人”企业培育范围</w:t>
      </w:r>
    </w:p>
    <w:p>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（1）在我市辖区内依法设立、经营，具有独立法人资格的青岛市专精特新企业。</w:t>
      </w:r>
    </w:p>
    <w:p>
      <w:pPr>
        <w:adjustRightInd w:val="0"/>
        <w:snapToGrid w:val="0"/>
        <w:spacing w:line="560" w:lineRule="exact"/>
        <w:ind w:firstLine="640" w:firstLineChars="200"/>
        <w:rPr>
          <w:rFonts w:ascii="宋体" w:hAnsi="宋体" w:cs="宋体"/>
          <w:szCs w:val="21"/>
          <w:shd w:val="clear" w:color="auto" w:fill="F9F9F9"/>
        </w:rPr>
      </w:pPr>
      <w:r>
        <w:rPr>
          <w:rFonts w:hint="eastAsia" w:ascii="仿宋_GB2312" w:hAnsi="仿宋" w:eastAsia="仿宋_GB2312"/>
          <w:sz w:val="32"/>
          <w:szCs w:val="32"/>
        </w:rPr>
        <w:t>（2）企业主导产品应符合《工业“四基”发展目录》所列重点领域，从事细分产品市场属于制造业核心基础零部件、先进基础工艺和关键基础材料；或符合制造强国战略明确的十大重点产业领域，属于重点领域技术路线图中有关产品；或符合我市《关于推进新旧动能转换重大工程的实施意见》中“新旧动能转换产业新体系”包括的现代海洋、智能家电、轨道交通装备、汽车制造、新一代信息技术、生物医药、高端装备、节能环保、食品饮料、纺织服装、机械设备、橡胶化工等工业领域重点发展方向。</w:t>
      </w:r>
    </w:p>
    <w:p>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2.专精特新“小巨人”企业培育库入库条件</w:t>
      </w:r>
    </w:p>
    <w:p>
      <w:pPr>
        <w:adjustRightInd w:val="0"/>
        <w:snapToGrid w:val="0"/>
        <w:spacing w:line="560" w:lineRule="exact"/>
        <w:ind w:firstLine="640" w:firstLineChars="200"/>
        <w:rPr>
          <w:rFonts w:ascii="仿宋_GB2312" w:eastAsia="仿宋_GB2312"/>
          <w:kern w:val="0"/>
          <w:sz w:val="32"/>
          <w:szCs w:val="32"/>
        </w:rPr>
      </w:pPr>
      <w:r>
        <w:rPr>
          <w:rFonts w:hint="eastAsia" w:ascii="仿宋_GB2312" w:eastAsia="仿宋_GB2312"/>
          <w:kern w:val="0"/>
          <w:sz w:val="32"/>
          <w:szCs w:val="32"/>
        </w:rPr>
        <w:t>已认定为青岛市隐形冠军企业或满足以下条件：</w:t>
      </w:r>
    </w:p>
    <w:p>
      <w:pPr>
        <w:adjustRightInd w:val="0"/>
        <w:snapToGrid w:val="0"/>
        <w:spacing w:line="560" w:lineRule="exact"/>
        <w:ind w:firstLine="640" w:firstLineChars="200"/>
        <w:rPr>
          <w:rFonts w:ascii="仿宋_GB2312" w:eastAsia="仿宋_GB2312"/>
          <w:kern w:val="0"/>
          <w:sz w:val="32"/>
          <w:szCs w:val="32"/>
        </w:rPr>
      </w:pPr>
      <w:r>
        <w:rPr>
          <w:rFonts w:hint="eastAsia" w:ascii="仿宋_GB2312" w:eastAsia="仿宋_GB2312"/>
          <w:kern w:val="0"/>
          <w:sz w:val="32"/>
          <w:szCs w:val="32"/>
        </w:rPr>
        <w:t>（1）经济效益指标</w:t>
      </w:r>
    </w:p>
    <w:p>
      <w:pPr>
        <w:adjustRightInd w:val="0"/>
        <w:snapToGrid w:val="0"/>
        <w:spacing w:line="560" w:lineRule="exact"/>
        <w:ind w:firstLine="640" w:firstLineChars="200"/>
        <w:rPr>
          <w:rFonts w:ascii="仿宋_GB2312" w:eastAsia="仿宋_GB2312"/>
          <w:kern w:val="0"/>
          <w:sz w:val="32"/>
          <w:szCs w:val="32"/>
        </w:rPr>
      </w:pPr>
      <w:r>
        <w:rPr>
          <w:rFonts w:hint="eastAsia" w:ascii="仿宋_GB2312" w:eastAsia="仿宋_GB2312"/>
          <w:kern w:val="0"/>
          <w:sz w:val="32"/>
          <w:szCs w:val="32"/>
        </w:rPr>
        <w:t>上年度企业主营业务收入在5000万元至4亿元之间，近2年主营业务收入或净利润的平均增长率达到5%以上，企业资产负债率不高于70%。</w:t>
      </w:r>
      <w:r>
        <w:rPr>
          <w:rFonts w:hint="eastAsia" w:ascii="仿宋_GB2312" w:eastAsia="仿宋_GB2312"/>
          <w:kern w:val="0"/>
          <w:sz w:val="32"/>
          <w:szCs w:val="32"/>
        </w:rPr>
        <w:br w:type="textWrapping"/>
      </w:r>
      <w:r>
        <w:rPr>
          <w:rFonts w:hint="eastAsia" w:ascii="仿宋_GB2312" w:eastAsia="仿宋_GB2312"/>
          <w:kern w:val="0"/>
          <w:sz w:val="32"/>
          <w:szCs w:val="32"/>
        </w:rPr>
        <w:t>　　（2）专业化指标</w:t>
      </w:r>
    </w:p>
    <w:p>
      <w:pPr>
        <w:adjustRightInd w:val="0"/>
        <w:snapToGrid w:val="0"/>
        <w:spacing w:line="560" w:lineRule="exact"/>
        <w:ind w:firstLine="640" w:firstLineChars="200"/>
        <w:rPr>
          <w:rFonts w:ascii="仿宋_GB2312" w:eastAsia="仿宋_GB2312"/>
          <w:kern w:val="0"/>
          <w:sz w:val="32"/>
          <w:szCs w:val="32"/>
        </w:rPr>
      </w:pPr>
      <w:r>
        <w:rPr>
          <w:rFonts w:hint="eastAsia" w:ascii="仿宋_GB2312" w:eastAsia="仿宋_GB2312"/>
          <w:kern w:val="0"/>
          <w:sz w:val="32"/>
          <w:szCs w:val="32"/>
        </w:rPr>
        <w:t>企业从事特定细分市场时间达到2年及以上，且细分市场占有率在</w:t>
      </w:r>
      <w:r>
        <w:rPr>
          <w:rFonts w:hint="eastAsia" w:ascii="仿宋_GB2312" w:hAnsi="仿宋" w:eastAsia="仿宋_GB2312"/>
          <w:sz w:val="32"/>
          <w:szCs w:val="32"/>
        </w:rPr>
        <w:t>全国前10位或全省前3位</w:t>
      </w:r>
      <w:r>
        <w:rPr>
          <w:rFonts w:hint="eastAsia" w:ascii="仿宋_GB2312" w:eastAsia="仿宋_GB2312"/>
          <w:kern w:val="0"/>
          <w:sz w:val="32"/>
          <w:szCs w:val="32"/>
        </w:rPr>
        <w:t>。</w:t>
      </w:r>
      <w:r>
        <w:rPr>
          <w:rFonts w:hint="eastAsia" w:ascii="仿宋_GB2312" w:eastAsia="仿宋_GB2312"/>
          <w:kern w:val="0"/>
          <w:sz w:val="32"/>
          <w:szCs w:val="32"/>
        </w:rPr>
        <w:br w:type="textWrapping"/>
      </w:r>
      <w:r>
        <w:rPr>
          <w:rFonts w:hint="eastAsia" w:ascii="仿宋_GB2312" w:eastAsia="仿宋_GB2312"/>
          <w:kern w:val="0"/>
          <w:sz w:val="32"/>
          <w:szCs w:val="32"/>
        </w:rPr>
        <w:t>　　（3）创新性指标</w:t>
      </w:r>
    </w:p>
    <w:p>
      <w:pPr>
        <w:adjustRightInd w:val="0"/>
        <w:snapToGrid w:val="0"/>
        <w:spacing w:line="560" w:lineRule="exact"/>
        <w:ind w:firstLine="640" w:firstLineChars="200"/>
        <w:rPr>
          <w:rFonts w:ascii="仿宋_GB2312" w:eastAsia="仿宋_GB2312"/>
          <w:kern w:val="0"/>
          <w:sz w:val="32"/>
          <w:szCs w:val="32"/>
        </w:rPr>
      </w:pPr>
      <w:r>
        <w:rPr>
          <w:rFonts w:hint="eastAsia" w:ascii="仿宋_GB2312" w:eastAsia="仿宋_GB2312"/>
          <w:kern w:val="0"/>
          <w:sz w:val="32"/>
          <w:szCs w:val="32"/>
        </w:rPr>
        <w:t>近2年企业从事研发和相关技术创新活动的科技人员占企业职工总数的比例不低于10%。已授权或已受理不少于5项与主要产品相关的发明专利，或15项及以上实用新型专利、外观设计专利。近2年企业已参与或正在参与制（修）订至少1项相关业务领域国际标准、国家标准或行业标准。企业已设立或正在筹建（申报）研发机构（含：技术研究院、企业技术中心、企业工程中心、院士专家工作站、博士后工作站等）。</w:t>
      </w:r>
    </w:p>
    <w:p>
      <w:pPr>
        <w:pStyle w:val="14"/>
        <w:spacing w:before="0" w:beforeAutospacing="0" w:after="0" w:afterAutospacing="0" w:line="560" w:lineRule="exact"/>
        <w:ind w:firstLine="646"/>
        <w:jc w:val="both"/>
        <w:rPr>
          <w:rFonts w:ascii="楷体_GB2312" w:hAnsi="仿宋" w:eastAsia="楷体_GB2312"/>
          <w:sz w:val="32"/>
          <w:szCs w:val="32"/>
        </w:rPr>
      </w:pPr>
      <w:r>
        <w:rPr>
          <w:rFonts w:hint="eastAsia" w:ascii="楷体_GB2312" w:hAnsi="仿宋" w:eastAsia="楷体_GB2312"/>
          <w:sz w:val="32"/>
          <w:szCs w:val="32"/>
        </w:rPr>
        <w:t>（三）瞪羚企业培育范围及入库条件</w:t>
      </w:r>
    </w:p>
    <w:p>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1.瞪羚企业培育范围</w:t>
      </w:r>
    </w:p>
    <w:p>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1）在我市注册，具有独立法人资格，持续经营三年以上，尚未在境内主板、中小板、创业板及境外上市的企业，非上市公司控股或并购的企业。生产经营、纳税和信用情况良好，无违法记录、无重大安全事故。</w:t>
      </w:r>
    </w:p>
    <w:p>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2）产业领域符合国家、山东省和青岛市战略新兴产业发展方向，涵盖新兴工业、新一代信息技术(含大数据、物联网与云计算、高端软件、互联网)、生物健康、人工智能、金融科技、节能环保、消费升级等领域。</w:t>
      </w:r>
    </w:p>
    <w:p>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2.瞪羚企业培育库入库条件</w:t>
      </w:r>
    </w:p>
    <w:p>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（1）成长性指标</w:t>
      </w:r>
    </w:p>
    <w:p>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须满足以下条件之一：</w:t>
      </w:r>
    </w:p>
    <w:p>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①增长率达标。企业成立时间不超过7年，上年度总收入在500万元-5000万元(含)，近三年收入均为正增长且近两年收入复合增长率达到15%或利润复合增长率达到15%;企业成立时间不超过9年，上年度总收入在5000万元-3亿元(含)，近三年收入均为正增长且近两年收入复合增长率达到10%或利润复合增长率达到10%;企业成立时间不超过11年，上年度总收入在3亿元以上，近三年收入均为正增长且近两年收入复合增长率达到5%或利润复合增长率达到5%。</w:t>
      </w:r>
    </w:p>
    <w:p>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②规模达标。企业成立时间不超过4年，上年度总收入不低于4亿元(即4年内突破4亿元)，且近三年收入无大幅度下降；或企业成立时间不超过8年，上年度总收入不低于8亿元(即8内年突破8亿元)，且近三年收入无大幅度下降。</w:t>
      </w:r>
    </w:p>
    <w:p>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（2）创新性指标</w:t>
      </w:r>
    </w:p>
    <w:p>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获得专利授权或软件著作权或主导参与制定国际、国家或行业标准；上年度总收入1亿元以下，近两年平均研发经费投入强度达到3%;上年度总收入1亿元及以上，近两年平均研发经费投入强度达到2%。</w:t>
      </w:r>
    </w:p>
    <w:p>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基于搜索引擎、即时通讯、移动支付等TMT产业，基于“互联网+”、物联网、大数据、人工智能等实现客户、产品和服务创新的新业态、新模式企业，可不受以上第1项成长性指标和第2项创新性指标条件限制，但须近两年收入或利润复合增长率达到25%以上。</w:t>
      </w:r>
    </w:p>
    <w:p>
      <w:pPr>
        <w:pStyle w:val="14"/>
        <w:spacing w:before="0" w:beforeAutospacing="0" w:after="0" w:afterAutospacing="0" w:line="560" w:lineRule="exact"/>
        <w:ind w:firstLine="646"/>
        <w:jc w:val="both"/>
        <w:rPr>
          <w:rFonts w:ascii="楷体_GB2312" w:hAnsi="仿宋" w:eastAsia="楷体_GB2312"/>
          <w:sz w:val="32"/>
          <w:szCs w:val="32"/>
        </w:rPr>
      </w:pPr>
      <w:r>
        <w:rPr>
          <w:rFonts w:hint="eastAsia" w:ascii="楷体_GB2312" w:hAnsi="仿宋" w:eastAsia="楷体_GB2312"/>
          <w:sz w:val="32"/>
          <w:szCs w:val="32"/>
        </w:rPr>
        <w:t>（四）（准）独角兽企业培育范围及入库条件</w:t>
      </w:r>
    </w:p>
    <w:p>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1.（准）独角兽企业培育范围</w:t>
      </w:r>
    </w:p>
    <w:p>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（1）在我市辖区内依法设立、经营，具有独立法人资格的未上市企业。生产经营、纳税和信用情况良好，无违法记录、无重大安全事故。</w:t>
      </w:r>
    </w:p>
    <w:p>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2）产业领域符合国家、山东省和青岛市战略新兴产业发展方向，涵盖新兴工业、新一代信息技术(含大数据、物联网与云计算、高端软件、互联网)、生物健康、人工智能、金融科技、节能环保、消费升级等领域。</w:t>
      </w:r>
    </w:p>
    <w:p>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2.（准）独角兽企业培育库入库条件</w:t>
      </w:r>
    </w:p>
    <w:p>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（1）准独角兽企业培育库入库条件</w:t>
      </w:r>
    </w:p>
    <w:p>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满足以下条件之一：</w:t>
      </w:r>
    </w:p>
    <w:p>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①成立8年以内，获得过私募投资且估值超过5000万美元（或等值3亿元人民币）的高成长性企业。</w:t>
      </w:r>
      <w:r>
        <w:rPr>
          <w:rFonts w:hint="eastAsia" w:ascii="宋体" w:hAnsi="宋体" w:cs="宋体"/>
          <w:sz w:val="32"/>
          <w:szCs w:val="32"/>
        </w:rPr>
        <w:t> </w:t>
      </w:r>
    </w:p>
    <w:p>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②成立5年以内，获得过私募投资且估值超过2000万美元（或等值1.2亿元人民币）的高成长性企业。</w:t>
      </w:r>
      <w:r>
        <w:rPr>
          <w:rFonts w:hint="eastAsia" w:ascii="宋体" w:hAnsi="宋体" w:cs="宋体"/>
          <w:sz w:val="32"/>
          <w:szCs w:val="32"/>
        </w:rPr>
        <w:t> </w:t>
      </w:r>
    </w:p>
    <w:p>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③成立3年以内，获得过私募投资且累计融资规模超500万元美元（或等值3000万元人民币）的高成长性企业。</w:t>
      </w:r>
    </w:p>
    <w:p>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（2）独角兽企业培育库入库条件</w:t>
      </w:r>
    </w:p>
    <w:p>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已认定为山东省准独角兽企业，或满足以下条件之一：</w:t>
      </w:r>
    </w:p>
    <w:p>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①成立8年以内，获得过私募投资且估值超过5亿美元（或等值30亿元人民币）的高成长性企业。</w:t>
      </w:r>
      <w:r>
        <w:rPr>
          <w:rFonts w:hint="eastAsia" w:ascii="宋体" w:hAnsi="宋体" w:cs="宋体"/>
          <w:sz w:val="32"/>
          <w:szCs w:val="32"/>
        </w:rPr>
        <w:t> </w:t>
      </w:r>
    </w:p>
    <w:p>
      <w:pPr>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②成立5年以内，获得过私募投资且估值超过2亿美元（或等值12亿元人民币）的高成长性企业。</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三、培育和奖励措施</w:t>
      </w:r>
    </w:p>
    <w:p>
      <w:pPr>
        <w:pStyle w:val="14"/>
        <w:spacing w:before="0" w:beforeAutospacing="0" w:after="0" w:afterAutospacing="0" w:line="560" w:lineRule="exact"/>
        <w:ind w:firstLine="646"/>
        <w:jc w:val="both"/>
        <w:rPr>
          <w:rFonts w:ascii="仿宋_GB2312" w:hAnsi="仿宋" w:eastAsia="仿宋_GB2312"/>
          <w:sz w:val="32"/>
          <w:szCs w:val="32"/>
        </w:rPr>
      </w:pPr>
      <w:r>
        <w:rPr>
          <w:rFonts w:hint="eastAsia" w:ascii="楷体_GB2312" w:hAnsi="仿宋" w:eastAsia="楷体_GB2312"/>
          <w:sz w:val="32"/>
          <w:szCs w:val="32"/>
        </w:rPr>
        <w:t>（一）主体培育。</w:t>
      </w:r>
      <w:r>
        <w:rPr>
          <w:rFonts w:hint="eastAsia" w:ascii="仿宋_GB2312" w:hAnsi="仿宋" w:eastAsia="仿宋_GB2312"/>
          <w:sz w:val="32"/>
          <w:szCs w:val="32"/>
        </w:rPr>
        <w:t>根据优势高成长企业培育库入库企业的特点和需求，提供政策政务、融资对接、辅导培训、技术对接、管理咨询等企业发展所需全方位线上线下服务，助力企业快速发展。加强与入库企业联系沟通，针对企业在发展过程中对资金、人才、土地、技术、市场等方面的需求及遇到的难题，开通绿色服务通道，精准施策，加快协调解决，推动培育企业扎根青岛。</w:t>
      </w:r>
    </w:p>
    <w:p>
      <w:pPr>
        <w:pStyle w:val="14"/>
        <w:spacing w:before="0" w:beforeAutospacing="0" w:after="0" w:afterAutospacing="0" w:line="560" w:lineRule="exact"/>
        <w:ind w:firstLine="646"/>
        <w:jc w:val="both"/>
        <w:rPr>
          <w:rFonts w:ascii="仿宋_GB2312" w:hAnsi="仿宋" w:eastAsia="仿宋_GB2312"/>
          <w:sz w:val="32"/>
          <w:szCs w:val="32"/>
        </w:rPr>
      </w:pPr>
      <w:r>
        <w:rPr>
          <w:rFonts w:hint="eastAsia" w:ascii="楷体_GB2312" w:hAnsi="仿宋" w:eastAsia="楷体_GB2312"/>
          <w:sz w:val="32"/>
          <w:szCs w:val="32"/>
        </w:rPr>
        <w:t>（二）搭建平台。</w:t>
      </w:r>
      <w:r>
        <w:rPr>
          <w:rFonts w:hint="eastAsia" w:ascii="仿宋_GB2312" w:hAnsi="仿宋" w:eastAsia="仿宋_GB2312"/>
          <w:sz w:val="32"/>
          <w:szCs w:val="32"/>
        </w:rPr>
        <w:t>发起成立以优势高成长企业培育库入库企业为主体的企业家联盟。为企业家搭建高管培训、深度交流、传递理念、分享心得的平台。推动优势高成长企业培育库入库企业整合国内外行业资源，充分利用资本、技术、人才的力量推进培育企业快速成长。</w:t>
      </w:r>
    </w:p>
    <w:p>
      <w:pPr>
        <w:pStyle w:val="14"/>
        <w:spacing w:before="0" w:beforeAutospacing="0" w:after="0" w:afterAutospacing="0" w:line="560" w:lineRule="exact"/>
        <w:ind w:firstLine="646"/>
        <w:jc w:val="both"/>
        <w:rPr>
          <w:rFonts w:ascii="仿宋_GB2312" w:hAnsi="仿宋" w:eastAsia="仿宋_GB2312"/>
          <w:sz w:val="32"/>
          <w:szCs w:val="32"/>
        </w:rPr>
      </w:pPr>
      <w:r>
        <w:rPr>
          <w:rFonts w:hint="eastAsia" w:ascii="楷体_GB2312" w:hAnsi="仿宋" w:eastAsia="楷体_GB2312"/>
          <w:sz w:val="32"/>
          <w:szCs w:val="32"/>
        </w:rPr>
        <w:t>（三）资金奖励。</w:t>
      </w:r>
      <w:r>
        <w:rPr>
          <w:rFonts w:hint="eastAsia" w:ascii="仿宋_GB2312" w:hAnsi="仿宋" w:eastAsia="仿宋_GB2312"/>
          <w:sz w:val="32"/>
          <w:szCs w:val="32"/>
        </w:rPr>
        <w:t>对于优势高成长企业培育库入库企业被认定为青岛市隐形冠军、山东省瞪羚和山东省独角兽的企业，分别奖励50万元、50万元和300万元；对工信部认定的专精特新“小巨人”企业按照省级补助标准给予奖补，若省级政策调整的，我市相应调整。</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四、申报程序</w:t>
      </w:r>
    </w:p>
    <w:p>
      <w:pPr>
        <w:adjustRightInd w:val="0"/>
        <w:snapToGrid w:val="0"/>
        <w:spacing w:line="560" w:lineRule="exact"/>
        <w:ind w:firstLine="640" w:firstLineChars="200"/>
        <w:rPr>
          <w:rFonts w:ascii="仿宋_GB2312" w:hAnsi="仿宋" w:eastAsia="仿宋_GB2312"/>
          <w:sz w:val="32"/>
          <w:szCs w:val="32"/>
        </w:rPr>
      </w:pPr>
      <w:r>
        <w:rPr>
          <w:rFonts w:hint="eastAsia" w:ascii="楷体_GB2312" w:hAnsi="仿宋" w:eastAsia="楷体_GB2312" w:cs="宋体"/>
          <w:kern w:val="0"/>
          <w:sz w:val="32"/>
          <w:szCs w:val="32"/>
        </w:rPr>
        <w:t>（一）申报组织。</w:t>
      </w:r>
      <w:r>
        <w:rPr>
          <w:rFonts w:hint="eastAsia" w:ascii="仿宋_GB2312" w:hAnsi="仿宋" w:eastAsia="仿宋_GB2312"/>
          <w:sz w:val="32"/>
          <w:szCs w:val="32"/>
        </w:rPr>
        <w:t>入库申报采取“定期受理、集中评审、分批入库”的原则。各区市民营经济（中小企业）主管部门根据《实施方案》要求在本地区范围内以年度为单位组织优势高成长企业的遴选、审核和推荐工作。</w:t>
      </w:r>
    </w:p>
    <w:p>
      <w:pPr>
        <w:adjustRightInd w:val="0"/>
        <w:snapToGrid w:val="0"/>
        <w:spacing w:line="560" w:lineRule="exact"/>
        <w:ind w:firstLine="640" w:firstLineChars="200"/>
        <w:rPr>
          <w:rFonts w:ascii="仿宋_GB2312" w:hAnsi="仿宋" w:eastAsia="仿宋_GB2312"/>
          <w:sz w:val="32"/>
          <w:szCs w:val="32"/>
        </w:rPr>
      </w:pPr>
      <w:r>
        <w:rPr>
          <w:rFonts w:hint="eastAsia" w:ascii="楷体_GB2312" w:hAnsi="仿宋" w:eastAsia="楷体_GB2312" w:cs="宋体"/>
          <w:kern w:val="0"/>
          <w:sz w:val="32"/>
          <w:szCs w:val="32"/>
        </w:rPr>
        <w:t>（二）企业自评、提交材料。</w:t>
      </w:r>
      <w:r>
        <w:rPr>
          <w:rFonts w:hint="eastAsia" w:ascii="仿宋_GB2312" w:hAnsi="仿宋" w:eastAsia="仿宋_GB2312"/>
          <w:sz w:val="32"/>
          <w:szCs w:val="32"/>
        </w:rPr>
        <w:t>企业根据入库条件进行自我评价，符合认定条件的，向所在区市民营经济（中小企业）主管部门提出申请，并按要求提交申报材料。申报材料的真实性、完整性由企业负责。</w:t>
      </w:r>
    </w:p>
    <w:p>
      <w:pPr>
        <w:adjustRightInd w:val="0"/>
        <w:snapToGrid w:val="0"/>
        <w:spacing w:line="560" w:lineRule="exact"/>
        <w:ind w:firstLine="640" w:firstLineChars="200"/>
        <w:rPr>
          <w:rFonts w:ascii="仿宋_GB2312" w:hAnsi="仿宋" w:eastAsia="仿宋_GB2312"/>
          <w:sz w:val="32"/>
          <w:szCs w:val="32"/>
        </w:rPr>
      </w:pPr>
      <w:r>
        <w:rPr>
          <w:rFonts w:hint="eastAsia" w:ascii="楷体_GB2312" w:hAnsi="仿宋" w:eastAsia="楷体_GB2312" w:cs="宋体"/>
          <w:kern w:val="0"/>
          <w:sz w:val="32"/>
          <w:szCs w:val="32"/>
        </w:rPr>
        <w:t>（三）受理、审核及报送。</w:t>
      </w:r>
      <w:r>
        <w:rPr>
          <w:rFonts w:hint="eastAsia" w:ascii="仿宋_GB2312" w:hAnsi="仿宋" w:eastAsia="仿宋_GB2312"/>
          <w:sz w:val="32"/>
          <w:szCs w:val="32"/>
        </w:rPr>
        <w:t>各区市民营经济（中小企业）主管部门负责受理并对申报材料的真实性、完整性进行审核并汇总推荐。</w:t>
      </w:r>
    </w:p>
    <w:p>
      <w:pPr>
        <w:adjustRightInd w:val="0"/>
        <w:snapToGrid w:val="0"/>
        <w:spacing w:line="560" w:lineRule="exact"/>
        <w:ind w:firstLine="640" w:firstLineChars="200"/>
        <w:rPr>
          <w:rFonts w:ascii="仿宋_GB2312" w:hAnsi="仿宋" w:eastAsia="仿宋_GB2312"/>
          <w:sz w:val="32"/>
          <w:szCs w:val="32"/>
        </w:rPr>
      </w:pPr>
      <w:r>
        <w:rPr>
          <w:rFonts w:hint="eastAsia" w:ascii="楷体_GB2312" w:hAnsi="仿宋" w:eastAsia="楷体_GB2312" w:cs="宋体"/>
          <w:kern w:val="0"/>
          <w:sz w:val="32"/>
          <w:szCs w:val="32"/>
        </w:rPr>
        <w:t>（四）审查、公示与入库。</w:t>
      </w:r>
      <w:r>
        <w:rPr>
          <w:rFonts w:hint="eastAsia" w:ascii="仿宋_GB2312" w:hAnsi="仿宋" w:eastAsia="仿宋_GB2312"/>
          <w:sz w:val="32"/>
          <w:szCs w:val="32"/>
        </w:rPr>
        <w:t>市民营经济发展局对申报材料进行审查，对拟进入优势高成长企业培育库的企业名单进行公示。经公示无异议后，由市民营经济发展局发布，建立企业培育库，实施动态管理，并根据企业发展实时状况进行调整。</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五、其他事项</w:t>
      </w:r>
    </w:p>
    <w:p>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（一）区市民营经济（中小企业）主管部门要按照《实施方案》有关要求，充分了解和掌握申报企业的整体发展状况，严格标准条件要求，认真组织做好入库培育和奖励的审核推荐工作。</w:t>
      </w:r>
    </w:p>
    <w:p>
      <w:pPr>
        <w:adjustRightInd w:val="0"/>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二）对申报中弄虚作假和截留、挪用、挤占、骗取资金等行为，一经查实，立即取消申报和入库资格，三年内不得再申报，并按照《财政违法行为处罚处分条例》(国务院令第427号)等有关规定进行处理，情节严重的依法追究有关单位及其相关人员责任。</w:t>
      </w:r>
    </w:p>
    <w:p>
      <w:pPr>
        <w:adjustRightInd w:val="0"/>
        <w:snapToGrid w:val="0"/>
        <w:spacing w:line="560" w:lineRule="exact"/>
        <w:ind w:firstLine="640" w:firstLineChars="200"/>
        <w:rPr>
          <w:rFonts w:hint="eastAsia" w:ascii="仿宋_GB2312" w:hAnsi="仿宋" w:eastAsia="仿宋_GB2312"/>
          <w:sz w:val="32"/>
          <w:szCs w:val="32"/>
        </w:rPr>
      </w:pPr>
    </w:p>
    <w:p>
      <w:pPr>
        <w:adjustRightInd w:val="0"/>
        <w:snapToGrid w:val="0"/>
        <w:ind w:firstLine="640" w:firstLineChars="200"/>
        <w:rPr>
          <w:rFonts w:hint="eastAsia" w:ascii="仿宋_GB2312" w:hAnsi="仿宋" w:eastAsia="仿宋_GB2312"/>
          <w:sz w:val="32"/>
          <w:szCs w:val="32"/>
        </w:rPr>
      </w:pPr>
    </w:p>
    <w:p>
      <w:pPr>
        <w:ind w:firstLine="6000" w:firstLineChars="2000"/>
        <w:rPr>
          <w:rFonts w:hint="eastAsia" w:ascii="仿宋_GB2312" w:eastAsia="仿宋_GB2312"/>
          <w:sz w:val="30"/>
          <w:szCs w:val="30"/>
        </w:rPr>
      </w:pPr>
    </w:p>
    <w:p>
      <w:pPr>
        <w:ind w:firstLine="6000" w:firstLineChars="2000"/>
        <w:rPr>
          <w:rFonts w:hint="eastAsia" w:ascii="仿宋_GB2312" w:eastAsia="仿宋_GB2312"/>
          <w:sz w:val="30"/>
          <w:szCs w:val="30"/>
        </w:rPr>
      </w:pPr>
    </w:p>
    <w:p>
      <w:pPr>
        <w:ind w:firstLine="6000" w:firstLineChars="2000"/>
        <w:rPr>
          <w:rFonts w:hint="eastAsia" w:ascii="仿宋_GB2312" w:eastAsia="仿宋_GB2312"/>
          <w:sz w:val="30"/>
          <w:szCs w:val="30"/>
        </w:rPr>
      </w:pPr>
    </w:p>
    <w:p>
      <w:pPr>
        <w:ind w:firstLine="6000" w:firstLineChars="2000"/>
        <w:rPr>
          <w:rFonts w:hint="eastAsia" w:ascii="仿宋_GB2312" w:eastAsia="仿宋_GB2312"/>
          <w:sz w:val="30"/>
          <w:szCs w:val="30"/>
        </w:rPr>
      </w:pPr>
    </w:p>
    <w:p>
      <w:pPr>
        <w:ind w:firstLine="6000" w:firstLineChars="2000"/>
        <w:rPr>
          <w:rFonts w:hint="eastAsia" w:ascii="仿宋_GB2312" w:eastAsia="仿宋_GB2312"/>
          <w:sz w:val="30"/>
          <w:szCs w:val="30"/>
        </w:rPr>
      </w:pPr>
    </w:p>
    <w:p>
      <w:pPr>
        <w:ind w:firstLine="6000" w:firstLineChars="2000"/>
        <w:rPr>
          <w:rFonts w:hint="eastAsia" w:ascii="仿宋_GB2312" w:eastAsia="仿宋_GB2312"/>
          <w:sz w:val="30"/>
          <w:szCs w:val="30"/>
        </w:rPr>
      </w:pPr>
    </w:p>
    <w:p>
      <w:pPr>
        <w:ind w:firstLine="6000" w:firstLineChars="2000"/>
        <w:rPr>
          <w:rFonts w:hint="eastAsia" w:ascii="仿宋_GB2312" w:eastAsia="仿宋_GB2312"/>
          <w:sz w:val="30"/>
          <w:szCs w:val="30"/>
        </w:rPr>
      </w:pPr>
    </w:p>
    <w:p>
      <w:pPr>
        <w:ind w:firstLine="6000" w:firstLineChars="2000"/>
        <w:rPr>
          <w:rFonts w:hint="eastAsia" w:ascii="仿宋_GB2312" w:eastAsia="仿宋_GB2312"/>
          <w:sz w:val="30"/>
          <w:szCs w:val="30"/>
        </w:rPr>
      </w:pPr>
    </w:p>
    <w:p>
      <w:pPr>
        <w:ind w:firstLine="6000" w:firstLineChars="2000"/>
        <w:rPr>
          <w:rFonts w:hint="eastAsia" w:ascii="仿宋_GB2312" w:eastAsia="仿宋_GB2312"/>
          <w:sz w:val="30"/>
          <w:szCs w:val="30"/>
        </w:rPr>
      </w:pPr>
    </w:p>
    <w:p>
      <w:pPr>
        <w:ind w:firstLine="6000" w:firstLineChars="2000"/>
        <w:rPr>
          <w:rFonts w:hint="eastAsia" w:ascii="仿宋_GB2312" w:eastAsia="仿宋_GB2312"/>
          <w:sz w:val="30"/>
          <w:szCs w:val="30"/>
        </w:rPr>
      </w:pPr>
    </w:p>
    <w:p>
      <w:pPr>
        <w:ind w:firstLine="6000" w:firstLineChars="2000"/>
        <w:rPr>
          <w:rFonts w:ascii="仿宋_GB2312" w:eastAsia="仿宋_GB2312"/>
          <w:sz w:val="30"/>
          <w:szCs w:val="30"/>
        </w:rPr>
      </w:pPr>
    </w:p>
    <w:p>
      <w:pPr>
        <w:ind w:firstLine="6000" w:firstLineChars="2000"/>
        <w:rPr>
          <w:rFonts w:ascii="仿宋_GB2312" w:eastAsia="仿宋_GB2312"/>
          <w:sz w:val="30"/>
          <w:szCs w:val="30"/>
        </w:rPr>
      </w:pPr>
    </w:p>
    <w:p>
      <w:pPr>
        <w:rPr>
          <w:rFonts w:ascii="仿宋_GB2312" w:eastAsia="仿宋_GB2312"/>
          <w:sz w:val="30"/>
          <w:szCs w:val="30"/>
        </w:rPr>
      </w:pPr>
      <w:bookmarkStart w:id="0" w:name="_GoBack"/>
      <w:bookmarkEnd w:id="0"/>
    </w:p>
    <w:p>
      <w:pPr>
        <w:ind w:firstLine="6000" w:firstLineChars="2000"/>
        <w:rPr>
          <w:rFonts w:ascii="仿宋_GB2312" w:eastAsia="仿宋_GB2312"/>
          <w:sz w:val="30"/>
          <w:szCs w:val="30"/>
        </w:rPr>
      </w:pPr>
    </w:p>
    <w:p>
      <w:pPr>
        <w:ind w:firstLine="560" w:firstLineChars="200"/>
      </w:pPr>
      <w:r>
        <w:rPr>
          <w:rFonts w:ascii="仿宋_GB2312" w:eastAsia="仿宋_GB2312"/>
          <w:sz w:val="28"/>
          <w:szCs w:val="28"/>
        </w:rPr>
        <mc:AlternateContent>
          <mc:Choice Requires="wps">
            <w:drawing>
              <wp:anchor distT="0" distB="0" distL="114300" distR="114300" simplePos="0" relativeHeight="251662336" behindDoc="0" locked="0" layoutInCell="1" allowOverlap="1">
                <wp:simplePos x="0" y="0"/>
                <wp:positionH relativeFrom="column">
                  <wp:posOffset>0</wp:posOffset>
                </wp:positionH>
                <wp:positionV relativeFrom="paragraph">
                  <wp:posOffset>58420</wp:posOffset>
                </wp:positionV>
                <wp:extent cx="5615940" cy="0"/>
                <wp:effectExtent l="0" t="0" r="0" b="0"/>
                <wp:wrapNone/>
                <wp:docPr id="3" name="直线 21"/>
                <wp:cNvGraphicFramePr/>
                <a:graphic xmlns:a="http://schemas.openxmlformats.org/drawingml/2006/main">
                  <a:graphicData uri="http://schemas.microsoft.com/office/word/2010/wordprocessingShape">
                    <wps:wsp>
                      <wps:cNvSpPr/>
                      <wps:spPr>
                        <a:xfrm>
                          <a:off x="0" y="0"/>
                          <a:ext cx="5615940" cy="0"/>
                        </a:xfrm>
                        <a:prstGeom prst="line">
                          <a:avLst/>
                        </a:prstGeom>
                        <a:ln w="12700" cap="flat" cmpd="sng">
                          <a:solidFill>
                            <a:srgbClr val="000000"/>
                          </a:solidFill>
                          <a:prstDash val="solid"/>
                          <a:headEnd type="none" w="med" len="med"/>
                          <a:tailEnd type="none" w="med" len="med"/>
                        </a:ln>
                      </wps:spPr>
                      <wps:bodyPr upright="1"/>
                    </wps:wsp>
                  </a:graphicData>
                </a:graphic>
              </wp:anchor>
            </w:drawing>
          </mc:Choice>
          <mc:Fallback>
            <w:pict>
              <v:line id="直线 21" o:spid="_x0000_s1026" o:spt="20" style="position:absolute;left:0pt;margin-left:0pt;margin-top:4.6pt;height:0pt;width:442.2pt;z-index:251662336;mso-width-relative:page;mso-height-relative:page;" filled="f" stroked="t" coordsize="21600,21600" o:gfxdata="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">
                <v:fill on="f" focussize="0,0"/>
                <v:stroke weight="1pt" color="#000000" joinstyle="round"/>
                <v:imagedata o:title=""/>
                <o:lock v:ext="edit" aspectratio="f"/>
              </v:line>
            </w:pict>
          </mc:Fallback>
        </mc:AlternateContent>
      </w:r>
      <w:r>
        <w:rPr>
          <w:rFonts w:ascii="仿宋_GB2312" w:eastAsia="仿宋_GB2312"/>
          <w:sz w:val="28"/>
          <w:szCs w:val="28"/>
        </w:rPr>
        <mc:AlternateContent>
          <mc:Choice Requires="wps">
            <w:drawing>
              <wp:anchor distT="0" distB="0" distL="114300" distR="114300" simplePos="0" relativeHeight="251661312" behindDoc="0" locked="0" layoutInCell="1" allowOverlap="1">
                <wp:simplePos x="0" y="0"/>
                <wp:positionH relativeFrom="column">
                  <wp:posOffset>0</wp:posOffset>
                </wp:positionH>
                <wp:positionV relativeFrom="paragraph">
                  <wp:posOffset>421005</wp:posOffset>
                </wp:positionV>
                <wp:extent cx="5615940" cy="0"/>
                <wp:effectExtent l="0" t="0" r="0" b="0"/>
                <wp:wrapNone/>
                <wp:docPr id="2" name="直线 20"/>
                <wp:cNvGraphicFramePr/>
                <a:graphic xmlns:a="http://schemas.openxmlformats.org/drawingml/2006/main">
                  <a:graphicData uri="http://schemas.microsoft.com/office/word/2010/wordprocessingShape">
                    <wps:wsp>
                      <wps:cNvSpPr/>
                      <wps:spPr>
                        <a:xfrm>
                          <a:off x="0" y="0"/>
                          <a:ext cx="5615940" cy="0"/>
                        </a:xfrm>
                        <a:prstGeom prst="line">
                          <a:avLst/>
                        </a:prstGeom>
                        <a:ln w="12700" cap="flat" cmpd="sng">
                          <a:solidFill>
                            <a:srgbClr val="000000"/>
                          </a:solidFill>
                          <a:prstDash val="solid"/>
                          <a:headEnd type="none" w="med" len="med"/>
                          <a:tailEnd type="none" w="med" len="med"/>
                        </a:ln>
                      </wps:spPr>
                      <wps:bodyPr upright="1"/>
                    </wps:wsp>
                  </a:graphicData>
                </a:graphic>
              </wp:anchor>
            </w:drawing>
          </mc:Choice>
          <mc:Fallback>
            <w:pict>
              <v:line id="直线 20" o:spid="_x0000_s1026" o:spt="20" style="position:absolute;left:0pt;margin-left:0pt;margin-top:33.15pt;height:0pt;width:442.2pt;z-index:251661312;mso-width-relative:page;mso-height-relative:page;" filled="f" stroked="t" coordsize="21600,21600" o:gfxdata="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">
                <v:fill on="f" focussize="0,0"/>
                <v:stroke weight="1pt" color="#000000" joinstyle="round"/>
                <v:imagedata o:title=""/>
                <o:lock v:ext="edit" aspectratio="f"/>
              </v:line>
            </w:pict>
          </mc:Fallback>
        </mc:AlternateContent>
      </w:r>
      <w:r>
        <w:rPr>
          <w:rFonts w:hint="eastAsia" w:ascii="仿宋_GB2312" w:eastAsia="仿宋_GB2312"/>
          <w:sz w:val="28"/>
          <w:szCs w:val="28"/>
        </w:rPr>
        <w:t>青岛市民营经济发展局办公室           2019年12月2日印发</w:t>
      </w:r>
    </w:p>
    <w:sectPr>
      <w:footerReference r:id="rId3" w:type="default"/>
      <w:footerReference r:id="rId4" w:type="even"/>
      <w:pgSz w:w="11906" w:h="16838"/>
      <w:pgMar w:top="1644" w:right="1418" w:bottom="964" w:left="1531" w:header="851" w:footer="1531" w:gutter="0"/>
      <w:pgNumType w:fmt="numberInDash"/>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Verdana">
    <w:panose1 w:val="020B0604030504040204"/>
    <w:charset w:val="00"/>
    <w:family w:val="swiss"/>
    <w:pitch w:val="default"/>
    <w:sig w:usb0="00000287" w:usb1="00000000" w:usb2="00000000" w:usb3="00000000" w:csb0="2000019F" w:csb1="00000000"/>
  </w:font>
  <w:font w:name="Tahoma">
    <w:panose1 w:val="020B0604030504040204"/>
    <w:charset w:val="00"/>
    <w:family w:val="swiss"/>
    <w:pitch w:val="default"/>
    <w:sig w:usb0="61007A87" w:usb1="80000000" w:usb2="00000008" w:usb3="00000000" w:csb0="200101FF" w:csb1="20280000"/>
  </w:font>
  <w:font w:name="Arial">
    <w:panose1 w:val="020B0604020202020204"/>
    <w:charset w:val="00"/>
    <w:family w:val="swiss"/>
    <w:pitch w:val="default"/>
    <w:sig w:usb0="00007A87" w:usb1="80000000" w:usb2="00000008" w:usb3="00000000" w:csb0="400001FF" w:csb1="FFFF0000"/>
  </w:font>
  <w:font w:name="Courier New">
    <w:panose1 w:val="02070309020205020404"/>
    <w:charset w:val="00"/>
    <w:family w:val="modern"/>
    <w:pitch w:val="default"/>
    <w:sig w:usb0="00007A87" w:usb1="80000000" w:usb2="00000008" w:usb3="00000000" w:csb0="400001FF" w:csb1="FFFF0000"/>
  </w:font>
  <w:font w:name="方正小标宋_GBK">
    <w:panose1 w:val="03000509000000000000"/>
    <w:charset w:val="86"/>
    <w:family w:val="script"/>
    <w:pitch w:val="default"/>
    <w:sig w:usb0="00000001" w:usb1="080E0000" w:usb2="00000000" w:usb3="00000000" w:csb0="00040000" w:csb1="00000000"/>
  </w:font>
  <w:font w:name="文星标宋">
    <w:altName w:val="Arial Unicode MS"/>
    <w:panose1 w:val="00000000000000000000"/>
    <w:charset w:val="86"/>
    <w:family w:val="auto"/>
    <w:pitch w:val="default"/>
    <w:sig w:usb0="00000000" w:usb1="00000000" w:usb2="00000010" w:usb3="00000000" w:csb0="00040001" w:csb1="00000000"/>
  </w:font>
  <w:font w:name="方正小标宋简体">
    <w:panose1 w:val="02010601030101010101"/>
    <w:charset w:val="86"/>
    <w:family w:val="script"/>
    <w:pitch w:val="default"/>
    <w:sig w:usb0="00000001" w:usb1="080E0000" w:usb2="00000000" w:usb3="00000000" w:csb0="00040000" w:csb1="00000000"/>
  </w:font>
  <w:font w:name="方正楷体简体">
    <w:altName w:val="Arial Unicode MS"/>
    <w:panose1 w:val="00000000000000000000"/>
    <w:charset w:val="86"/>
    <w:family w:val="script"/>
    <w:pitch w:val="default"/>
    <w:sig w:usb0="00000000" w:usb1="00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ˎ̥">
    <w:altName w:val="Times New Roman"/>
    <w:panose1 w:val="00000000000000000000"/>
    <w:charset w:val="00"/>
    <w:family w:val="roman"/>
    <w:pitch w:val="default"/>
    <w:sig w:usb0="00000000" w:usb1="00000000" w:usb2="00000000" w:usb3="00000000" w:csb0="00040001" w:csb1="00000000"/>
  </w:font>
  <w:font w:name="仿宋">
    <w:altName w:val="Arial Unicode MS"/>
    <w:panose1 w:val="02010609060101010101"/>
    <w:charset w:val="86"/>
    <w:family w:val="modern"/>
    <w:pitch w:val="default"/>
    <w:sig w:usb0="00000000" w:usb1="00000000"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
    <w:altName w:val="Times New Roman"/>
    <w:panose1 w:val="00000000000000000000"/>
    <w:charset w:val="00"/>
    <w:family w:val="roman"/>
    <w:pitch w:val="default"/>
    <w:sig w:usb0="00000000" w:usb1="00000000" w:usb2="00000000" w:usb3="00000000" w:csb0="00000001" w:csb1="00000000"/>
  </w:font>
  <w:font w:name="微软雅黑">
    <w:panose1 w:val="020B0503020204020204"/>
    <w:charset w:val="86"/>
    <w:family w:val="auto"/>
    <w:pitch w:val="default"/>
    <w:sig w:usb0="80000287" w:usb1="280F3C52" w:usb2="00000016" w:usb3="00000000" w:csb0="0004001F"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framePr w:wrap="around" w:vAnchor="text" w:hAnchor="margin" w:xAlign="outside" w:y="1"/>
      <w:rPr>
        <w:rStyle w:val="20"/>
        <w:rFonts w:ascii="仿宋_GB2312" w:eastAsia="仿宋_GB2312"/>
        <w:sz w:val="28"/>
        <w:szCs w:val="28"/>
      </w:rPr>
    </w:pPr>
    <w:r>
      <w:rPr>
        <w:rStyle w:val="20"/>
        <w:rFonts w:hint="eastAsia" w:ascii="仿宋_GB2312" w:eastAsia="仿宋_GB2312"/>
        <w:sz w:val="28"/>
        <w:szCs w:val="28"/>
      </w:rPr>
      <w:fldChar w:fldCharType="begin"/>
    </w:r>
    <w:r>
      <w:rPr>
        <w:rStyle w:val="20"/>
        <w:rFonts w:hint="eastAsia" w:ascii="仿宋_GB2312" w:eastAsia="仿宋_GB2312"/>
        <w:sz w:val="28"/>
        <w:szCs w:val="28"/>
      </w:rPr>
      <w:instrText xml:space="preserve">PAGE  </w:instrText>
    </w:r>
    <w:r>
      <w:rPr>
        <w:rStyle w:val="20"/>
        <w:rFonts w:hint="eastAsia" w:ascii="仿宋_GB2312" w:eastAsia="仿宋_GB2312"/>
        <w:sz w:val="28"/>
        <w:szCs w:val="28"/>
      </w:rPr>
      <w:fldChar w:fldCharType="separate"/>
    </w:r>
    <w:r>
      <w:rPr>
        <w:rStyle w:val="20"/>
        <w:rFonts w:ascii="仿宋_GB2312" w:eastAsia="仿宋_GB2312"/>
        <w:sz w:val="28"/>
        <w:szCs w:val="28"/>
      </w:rPr>
      <w:t>- 14 -</w:t>
    </w:r>
    <w:r>
      <w:rPr>
        <w:rStyle w:val="20"/>
        <w:rFonts w:hint="eastAsia" w:ascii="仿宋_GB2312" w:eastAsia="仿宋_GB2312"/>
        <w:sz w:val="28"/>
        <w:szCs w:val="28"/>
      </w:rPr>
      <w:fldChar w:fldCharType="end"/>
    </w:r>
  </w:p>
  <w:p>
    <w:pPr>
      <w:pStyle w:val="11"/>
      <w:ind w:right="360" w:firstLine="360"/>
      <w:jc w:val="center"/>
      <w:rPr>
        <w:rFonts w:ascii="仿宋_GB2312" w:eastAsia="仿宋_GB2312"/>
        <w:sz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framePr w:wrap="around" w:vAnchor="text" w:hAnchor="margin" w:xAlign="outside" w:y="1"/>
      <w:rPr>
        <w:rStyle w:val="20"/>
      </w:rPr>
    </w:pPr>
    <w:r>
      <w:rPr>
        <w:rStyle w:val="20"/>
      </w:rPr>
      <w:fldChar w:fldCharType="begin"/>
    </w:r>
    <w:r>
      <w:rPr>
        <w:rStyle w:val="20"/>
      </w:rPr>
      <w:instrText xml:space="preserve">PAGE  </w:instrText>
    </w:r>
    <w:r>
      <w:rPr>
        <w:rStyle w:val="20"/>
      </w:rPr>
      <w:fldChar w:fldCharType="end"/>
    </w:r>
  </w:p>
  <w:p>
    <w:pPr>
      <w:pStyle w:val="11"/>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7759"/>
    <w:rsid w:val="00003589"/>
    <w:rsid w:val="0000687C"/>
    <w:rsid w:val="000127C9"/>
    <w:rsid w:val="00025313"/>
    <w:rsid w:val="0003640C"/>
    <w:rsid w:val="00036C53"/>
    <w:rsid w:val="000455BC"/>
    <w:rsid w:val="000866BD"/>
    <w:rsid w:val="000971A6"/>
    <w:rsid w:val="000A536F"/>
    <w:rsid w:val="000A689A"/>
    <w:rsid w:val="000B1ABF"/>
    <w:rsid w:val="000C6995"/>
    <w:rsid w:val="000C7151"/>
    <w:rsid w:val="000F4924"/>
    <w:rsid w:val="0010025E"/>
    <w:rsid w:val="0010623E"/>
    <w:rsid w:val="0011199A"/>
    <w:rsid w:val="00121F67"/>
    <w:rsid w:val="00123A2A"/>
    <w:rsid w:val="001253F4"/>
    <w:rsid w:val="00135CEB"/>
    <w:rsid w:val="0014639A"/>
    <w:rsid w:val="00190834"/>
    <w:rsid w:val="001A0F2C"/>
    <w:rsid w:val="001A750D"/>
    <w:rsid w:val="001A7C46"/>
    <w:rsid w:val="001B08B4"/>
    <w:rsid w:val="001B26C4"/>
    <w:rsid w:val="001C5788"/>
    <w:rsid w:val="001E26CF"/>
    <w:rsid w:val="001F30DF"/>
    <w:rsid w:val="0020581E"/>
    <w:rsid w:val="002615E8"/>
    <w:rsid w:val="002664CD"/>
    <w:rsid w:val="002668C8"/>
    <w:rsid w:val="00277F17"/>
    <w:rsid w:val="00287134"/>
    <w:rsid w:val="00290EB8"/>
    <w:rsid w:val="002A14F9"/>
    <w:rsid w:val="002A628B"/>
    <w:rsid w:val="002C0E22"/>
    <w:rsid w:val="002D0377"/>
    <w:rsid w:val="00301DDD"/>
    <w:rsid w:val="00310A61"/>
    <w:rsid w:val="003237EB"/>
    <w:rsid w:val="0032410A"/>
    <w:rsid w:val="00334C2D"/>
    <w:rsid w:val="00340380"/>
    <w:rsid w:val="00341E28"/>
    <w:rsid w:val="003749BF"/>
    <w:rsid w:val="003972B5"/>
    <w:rsid w:val="00397675"/>
    <w:rsid w:val="00397796"/>
    <w:rsid w:val="003A3FBA"/>
    <w:rsid w:val="003A6D40"/>
    <w:rsid w:val="003C3AE1"/>
    <w:rsid w:val="003D75A1"/>
    <w:rsid w:val="003E234C"/>
    <w:rsid w:val="004055CF"/>
    <w:rsid w:val="00413895"/>
    <w:rsid w:val="00414287"/>
    <w:rsid w:val="00415F4C"/>
    <w:rsid w:val="0042235D"/>
    <w:rsid w:val="004442DD"/>
    <w:rsid w:val="004475C7"/>
    <w:rsid w:val="00454BB2"/>
    <w:rsid w:val="004551DD"/>
    <w:rsid w:val="00457759"/>
    <w:rsid w:val="00481A72"/>
    <w:rsid w:val="00487392"/>
    <w:rsid w:val="004B15C9"/>
    <w:rsid w:val="004C07A5"/>
    <w:rsid w:val="00504843"/>
    <w:rsid w:val="00510A7D"/>
    <w:rsid w:val="0051443D"/>
    <w:rsid w:val="00524E4C"/>
    <w:rsid w:val="00564161"/>
    <w:rsid w:val="00590D84"/>
    <w:rsid w:val="00597DFA"/>
    <w:rsid w:val="005B7A18"/>
    <w:rsid w:val="005F7E42"/>
    <w:rsid w:val="00623D85"/>
    <w:rsid w:val="00641BB3"/>
    <w:rsid w:val="0066049C"/>
    <w:rsid w:val="00661472"/>
    <w:rsid w:val="006750EE"/>
    <w:rsid w:val="00681F6B"/>
    <w:rsid w:val="00683C3C"/>
    <w:rsid w:val="00693BB8"/>
    <w:rsid w:val="00696FB4"/>
    <w:rsid w:val="006C5209"/>
    <w:rsid w:val="006E5842"/>
    <w:rsid w:val="006F3329"/>
    <w:rsid w:val="007049A6"/>
    <w:rsid w:val="00712F90"/>
    <w:rsid w:val="0071627F"/>
    <w:rsid w:val="007254CE"/>
    <w:rsid w:val="0072698D"/>
    <w:rsid w:val="00737C52"/>
    <w:rsid w:val="00755344"/>
    <w:rsid w:val="007600F4"/>
    <w:rsid w:val="007A5E67"/>
    <w:rsid w:val="007A735B"/>
    <w:rsid w:val="007B5AB7"/>
    <w:rsid w:val="007C3859"/>
    <w:rsid w:val="007D5D5F"/>
    <w:rsid w:val="007E49D1"/>
    <w:rsid w:val="007F1CFB"/>
    <w:rsid w:val="007F3737"/>
    <w:rsid w:val="008030BF"/>
    <w:rsid w:val="00813C7E"/>
    <w:rsid w:val="008172C8"/>
    <w:rsid w:val="00822931"/>
    <w:rsid w:val="0084392D"/>
    <w:rsid w:val="00845CE6"/>
    <w:rsid w:val="00851982"/>
    <w:rsid w:val="008556FD"/>
    <w:rsid w:val="008609A2"/>
    <w:rsid w:val="0086230C"/>
    <w:rsid w:val="008722C0"/>
    <w:rsid w:val="00885AE3"/>
    <w:rsid w:val="00892A4E"/>
    <w:rsid w:val="008D419B"/>
    <w:rsid w:val="008E1FA8"/>
    <w:rsid w:val="00923820"/>
    <w:rsid w:val="009419FD"/>
    <w:rsid w:val="00941CDC"/>
    <w:rsid w:val="009448EB"/>
    <w:rsid w:val="00946E89"/>
    <w:rsid w:val="00947BAC"/>
    <w:rsid w:val="00961D91"/>
    <w:rsid w:val="009649D5"/>
    <w:rsid w:val="00994B26"/>
    <w:rsid w:val="009A52A5"/>
    <w:rsid w:val="009B5952"/>
    <w:rsid w:val="009B5A72"/>
    <w:rsid w:val="009B78B6"/>
    <w:rsid w:val="009D334B"/>
    <w:rsid w:val="009F1363"/>
    <w:rsid w:val="00A0657F"/>
    <w:rsid w:val="00A200C8"/>
    <w:rsid w:val="00A229F9"/>
    <w:rsid w:val="00A35BD8"/>
    <w:rsid w:val="00A44908"/>
    <w:rsid w:val="00A46BF0"/>
    <w:rsid w:val="00A50147"/>
    <w:rsid w:val="00A60455"/>
    <w:rsid w:val="00A62DC9"/>
    <w:rsid w:val="00A72354"/>
    <w:rsid w:val="00A75B4B"/>
    <w:rsid w:val="00AA04A1"/>
    <w:rsid w:val="00AA7C08"/>
    <w:rsid w:val="00AB229F"/>
    <w:rsid w:val="00AB63F7"/>
    <w:rsid w:val="00AC1093"/>
    <w:rsid w:val="00AC5C6A"/>
    <w:rsid w:val="00AC647A"/>
    <w:rsid w:val="00AD2DC2"/>
    <w:rsid w:val="00AE70F3"/>
    <w:rsid w:val="00B23E9B"/>
    <w:rsid w:val="00B24436"/>
    <w:rsid w:val="00B30A30"/>
    <w:rsid w:val="00B336A8"/>
    <w:rsid w:val="00B64D50"/>
    <w:rsid w:val="00B96C9F"/>
    <w:rsid w:val="00BA3827"/>
    <w:rsid w:val="00BB10C6"/>
    <w:rsid w:val="00BC10EC"/>
    <w:rsid w:val="00BC56B6"/>
    <w:rsid w:val="00BF1155"/>
    <w:rsid w:val="00BF4A5A"/>
    <w:rsid w:val="00C03644"/>
    <w:rsid w:val="00C300E6"/>
    <w:rsid w:val="00C520B9"/>
    <w:rsid w:val="00C8150A"/>
    <w:rsid w:val="00C870D3"/>
    <w:rsid w:val="00C96C2E"/>
    <w:rsid w:val="00CB4F5D"/>
    <w:rsid w:val="00CC17E5"/>
    <w:rsid w:val="00CC606A"/>
    <w:rsid w:val="00CD1F6C"/>
    <w:rsid w:val="00CE4760"/>
    <w:rsid w:val="00CF0861"/>
    <w:rsid w:val="00D0761E"/>
    <w:rsid w:val="00D16F12"/>
    <w:rsid w:val="00D24F76"/>
    <w:rsid w:val="00D403EE"/>
    <w:rsid w:val="00D52082"/>
    <w:rsid w:val="00D804E8"/>
    <w:rsid w:val="00D824B2"/>
    <w:rsid w:val="00D97AAC"/>
    <w:rsid w:val="00DB30E5"/>
    <w:rsid w:val="00DC024B"/>
    <w:rsid w:val="00DD7DD1"/>
    <w:rsid w:val="00DE2DCD"/>
    <w:rsid w:val="00E0751E"/>
    <w:rsid w:val="00E157C5"/>
    <w:rsid w:val="00E1799D"/>
    <w:rsid w:val="00E207DC"/>
    <w:rsid w:val="00E36AB9"/>
    <w:rsid w:val="00E37D9B"/>
    <w:rsid w:val="00E74023"/>
    <w:rsid w:val="00E94A29"/>
    <w:rsid w:val="00E97F1A"/>
    <w:rsid w:val="00EB48FE"/>
    <w:rsid w:val="00EC08E5"/>
    <w:rsid w:val="00EE65FC"/>
    <w:rsid w:val="00EF2A72"/>
    <w:rsid w:val="00EF5C93"/>
    <w:rsid w:val="00F01D45"/>
    <w:rsid w:val="00F1694E"/>
    <w:rsid w:val="00F26D31"/>
    <w:rsid w:val="00F2763F"/>
    <w:rsid w:val="00F426A3"/>
    <w:rsid w:val="00F43E57"/>
    <w:rsid w:val="00F45685"/>
    <w:rsid w:val="00F6066A"/>
    <w:rsid w:val="00F72168"/>
    <w:rsid w:val="00F9373D"/>
    <w:rsid w:val="00FB6851"/>
    <w:rsid w:val="00FB688C"/>
    <w:rsid w:val="00FB7D6F"/>
    <w:rsid w:val="00FC6F73"/>
    <w:rsid w:val="00FD074E"/>
    <w:rsid w:val="00FD7F28"/>
    <w:rsid w:val="00FF0D98"/>
    <w:rsid w:val="00FF3951"/>
    <w:rsid w:val="03F361E3"/>
    <w:rsid w:val="14DB20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nhideWhenUsed="0" w:uiPriority="0" w:semiHidden="0"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nhideWhenUsed="0" w:uiPriority="0" w:semiHidden="0" w:name="List"/>
    <w:lsdException w:uiPriority="99" w:name="List Bullet"/>
    <w:lsdException w:uiPriority="99" w:name="List Number"/>
    <w:lsdException w:unhideWhenUsed="0" w:uiPriority="0" w:semiHidden="0"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nhideWhenUsed="0" w:uiPriority="0" w:semiHidden="0" w:name="Body Text"/>
    <w:lsdException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nhideWhenUsed="0" w:uiPriority="0" w:semiHidden="0" w:name="Date"/>
    <w:lsdException w:unhideWhenUsed="0" w:uiPriority="0" w:semiHidden="0" w:name="Body Text First Indent"/>
    <w:lsdException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nhideWhenUsed="0" w:uiPriority="0" w:name="Document Map"/>
    <w:lsdException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spacing w:before="100" w:beforeAutospacing="1" w:after="100" w:afterAutospacing="1"/>
      <w:jc w:val="left"/>
      <w:outlineLvl w:val="0"/>
    </w:pPr>
    <w:rPr>
      <w:rFonts w:hint="eastAsia" w:ascii="宋体" w:hAnsi="宋体"/>
      <w:b/>
      <w:kern w:val="44"/>
      <w:sz w:val="48"/>
      <w:szCs w:val="48"/>
    </w:rPr>
  </w:style>
  <w:style w:type="character" w:default="1" w:styleId="19">
    <w:name w:val="Default Paragraph Font"/>
    <w:semiHidden/>
    <w:unhideWhenUsed/>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3">
    <w:name w:val="Normal Indent"/>
    <w:basedOn w:val="1"/>
    <w:uiPriority w:val="0"/>
    <w:pPr>
      <w:ind w:firstLine="420" w:firstLineChars="200"/>
    </w:pPr>
  </w:style>
  <w:style w:type="paragraph" w:styleId="4">
    <w:name w:val="Document Map"/>
    <w:basedOn w:val="1"/>
    <w:semiHidden/>
    <w:uiPriority w:val="0"/>
    <w:pPr>
      <w:shd w:val="clear" w:color="auto" w:fill="000080"/>
    </w:pPr>
  </w:style>
  <w:style w:type="paragraph" w:styleId="5">
    <w:name w:val="Body Text"/>
    <w:basedOn w:val="1"/>
    <w:uiPriority w:val="0"/>
    <w:pPr>
      <w:spacing w:after="120"/>
    </w:pPr>
  </w:style>
  <w:style w:type="paragraph" w:styleId="6">
    <w:name w:val="Body Text Indent"/>
    <w:basedOn w:val="1"/>
    <w:uiPriority w:val="0"/>
    <w:pPr>
      <w:spacing w:after="120"/>
      <w:ind w:left="420" w:leftChars="200"/>
    </w:pPr>
  </w:style>
  <w:style w:type="paragraph" w:styleId="7">
    <w:name w:val="List 2"/>
    <w:basedOn w:val="1"/>
    <w:uiPriority w:val="0"/>
    <w:pPr>
      <w:ind w:left="100" w:leftChars="200" w:hanging="200" w:hangingChars="200"/>
    </w:pPr>
  </w:style>
  <w:style w:type="paragraph" w:styleId="8">
    <w:name w:val="Plain Text"/>
    <w:basedOn w:val="1"/>
    <w:link w:val="32"/>
    <w:unhideWhenUsed/>
    <w:uiPriority w:val="0"/>
    <w:rPr>
      <w:rFonts w:ascii="宋体" w:hAnsi="Courier New" w:cs="Courier New"/>
      <w:szCs w:val="21"/>
    </w:rPr>
  </w:style>
  <w:style w:type="paragraph" w:styleId="9">
    <w:name w:val="Date"/>
    <w:basedOn w:val="1"/>
    <w:next w:val="1"/>
    <w:uiPriority w:val="0"/>
    <w:pPr>
      <w:ind w:left="100" w:leftChars="2500"/>
    </w:pPr>
  </w:style>
  <w:style w:type="paragraph" w:styleId="10">
    <w:name w:val="Balloon Text"/>
    <w:basedOn w:val="1"/>
    <w:semiHidden/>
    <w:uiPriority w:val="0"/>
    <w:rPr>
      <w:sz w:val="18"/>
      <w:szCs w:val="18"/>
    </w:rPr>
  </w:style>
  <w:style w:type="paragraph" w:styleId="11">
    <w:name w:val="footer"/>
    <w:basedOn w:val="1"/>
    <w:link w:val="23"/>
    <w:unhideWhenUsed/>
    <w:uiPriority w:val="99"/>
    <w:pPr>
      <w:tabs>
        <w:tab w:val="center" w:pos="4153"/>
        <w:tab w:val="right" w:pos="8306"/>
      </w:tabs>
      <w:snapToGrid w:val="0"/>
      <w:jc w:val="left"/>
    </w:pPr>
    <w:rPr>
      <w:sz w:val="18"/>
      <w:szCs w:val="18"/>
    </w:rPr>
  </w:style>
  <w:style w:type="paragraph" w:styleId="12">
    <w:name w:val="header"/>
    <w:basedOn w:val="1"/>
    <w:link w:val="22"/>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List"/>
    <w:basedOn w:val="1"/>
    <w:uiPriority w:val="0"/>
    <w:pPr>
      <w:ind w:left="200" w:hanging="200" w:hangingChars="200"/>
    </w:pPr>
  </w:style>
  <w:style w:type="paragraph" w:styleId="14">
    <w:name w:val="Normal (Web)"/>
    <w:basedOn w:val="1"/>
    <w:qFormat/>
    <w:uiPriority w:val="0"/>
    <w:pPr>
      <w:widowControl/>
      <w:spacing w:before="100" w:beforeAutospacing="1" w:after="100" w:afterAutospacing="1"/>
      <w:jc w:val="left"/>
    </w:pPr>
    <w:rPr>
      <w:rFonts w:ascii="宋体" w:hAnsi="宋体" w:cs="宋体"/>
      <w:color w:val="000000"/>
      <w:kern w:val="0"/>
      <w:sz w:val="24"/>
    </w:rPr>
  </w:style>
  <w:style w:type="paragraph" w:styleId="15">
    <w:name w:val="Body Text First Indent"/>
    <w:basedOn w:val="5"/>
    <w:uiPriority w:val="0"/>
    <w:pPr>
      <w:ind w:firstLine="420" w:firstLineChars="100"/>
    </w:pPr>
  </w:style>
  <w:style w:type="paragraph" w:styleId="16">
    <w:name w:val="Body Text First Indent 2"/>
    <w:basedOn w:val="6"/>
    <w:uiPriority w:val="0"/>
    <w:pPr>
      <w:ind w:firstLine="420" w:firstLineChars="200"/>
    </w:pPr>
  </w:style>
  <w:style w:type="table" w:styleId="18">
    <w:name w:val="Table Grid"/>
    <w:basedOn w:val="17"/>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0">
    <w:name w:val="page number"/>
    <w:basedOn w:val="19"/>
    <w:uiPriority w:val="0"/>
  </w:style>
  <w:style w:type="character" w:styleId="21">
    <w:name w:val="Hyperlink"/>
    <w:uiPriority w:val="0"/>
    <w:rPr>
      <w:color w:val="0000FF"/>
      <w:u w:val="single"/>
    </w:rPr>
  </w:style>
  <w:style w:type="character" w:customStyle="1" w:styleId="22">
    <w:name w:val="页眉 Char"/>
    <w:link w:val="12"/>
    <w:uiPriority w:val="99"/>
    <w:rPr>
      <w:kern w:val="2"/>
      <w:sz w:val="18"/>
      <w:szCs w:val="18"/>
    </w:rPr>
  </w:style>
  <w:style w:type="character" w:customStyle="1" w:styleId="23">
    <w:name w:val="页脚 Char"/>
    <w:link w:val="11"/>
    <w:uiPriority w:val="99"/>
    <w:rPr>
      <w:kern w:val="2"/>
      <w:sz w:val="18"/>
      <w:szCs w:val="18"/>
    </w:rPr>
  </w:style>
  <w:style w:type="paragraph" w:customStyle="1" w:styleId="24">
    <w:name w:val="Char"/>
    <w:basedOn w:val="1"/>
    <w:uiPriority w:val="0"/>
    <w:pPr>
      <w:widowControl/>
      <w:spacing w:after="160" w:line="240" w:lineRule="exact"/>
      <w:jc w:val="left"/>
    </w:pPr>
    <w:rPr>
      <w:rFonts w:ascii="Verdana" w:hAnsi="Verdana"/>
      <w:kern w:val="0"/>
      <w:sz w:val="20"/>
      <w:szCs w:val="20"/>
      <w:lang w:eastAsia="en-US"/>
    </w:rPr>
  </w:style>
  <w:style w:type="paragraph" w:customStyle="1" w:styleId="25">
    <w:name w:val="Char Char2"/>
    <w:basedOn w:val="4"/>
    <w:uiPriority w:val="0"/>
    <w:pPr>
      <w:adjustRightInd w:val="0"/>
      <w:spacing w:line="436" w:lineRule="exact"/>
      <w:ind w:left="357"/>
      <w:jc w:val="left"/>
      <w:outlineLvl w:val="3"/>
    </w:pPr>
    <w:rPr>
      <w:rFonts w:ascii="Tahoma" w:hAnsi="Tahoma"/>
      <w:b/>
      <w:sz w:val="24"/>
    </w:rPr>
  </w:style>
  <w:style w:type="paragraph" w:customStyle="1" w:styleId="26">
    <w:name w:val="段"/>
    <w:basedOn w:val="1"/>
    <w:uiPriority w:val="0"/>
    <w:pPr>
      <w:tabs>
        <w:tab w:val="left" w:pos="180"/>
        <w:tab w:val="left" w:pos="6960"/>
        <w:tab w:val="left" w:pos="8100"/>
      </w:tabs>
      <w:adjustRightInd w:val="0"/>
      <w:snapToGrid w:val="0"/>
      <w:spacing w:line="520" w:lineRule="atLeast"/>
      <w:ind w:firstLine="480"/>
    </w:pPr>
    <w:rPr>
      <w:rFonts w:ascii="Arial" w:hAnsi="Arial"/>
      <w:sz w:val="24"/>
      <w:szCs w:val="20"/>
    </w:rPr>
  </w:style>
  <w:style w:type="paragraph" w:customStyle="1" w:styleId="27">
    <w:name w:val="Default"/>
    <w:link w:val="28"/>
    <w:uiPriority w:val="0"/>
    <w:pPr>
      <w:widowControl w:val="0"/>
      <w:autoSpaceDE w:val="0"/>
      <w:autoSpaceDN w:val="0"/>
      <w:adjustRightInd w:val="0"/>
    </w:pPr>
    <w:rPr>
      <w:rFonts w:ascii="黑体" w:hAnsi="Times New Roman" w:eastAsia="黑体" w:cs="黑体"/>
      <w:color w:val="000000"/>
      <w:sz w:val="24"/>
      <w:szCs w:val="24"/>
      <w:lang w:val="en-US" w:eastAsia="zh-CN" w:bidi="ar-SA"/>
    </w:rPr>
  </w:style>
  <w:style w:type="character" w:customStyle="1" w:styleId="28">
    <w:name w:val="Default Char"/>
    <w:link w:val="27"/>
    <w:locked/>
    <w:uiPriority w:val="0"/>
    <w:rPr>
      <w:rFonts w:ascii="黑体" w:eastAsia="黑体" w:cs="黑体"/>
      <w:color w:val="000000"/>
      <w:sz w:val="24"/>
      <w:szCs w:val="24"/>
      <w:lang w:val="en-US" w:eastAsia="zh-CN" w:bidi="ar-SA"/>
    </w:rPr>
  </w:style>
  <w:style w:type="paragraph" w:styleId="29">
    <w:name w:val="List Paragraph"/>
    <w:basedOn w:val="1"/>
    <w:qFormat/>
    <w:uiPriority w:val="0"/>
    <w:pPr>
      <w:ind w:firstLine="420" w:firstLineChars="200"/>
    </w:pPr>
    <w:rPr>
      <w:rFonts w:ascii="Calibri" w:hAnsi="Calibri" w:cs="Calibri"/>
      <w:szCs w:val="21"/>
    </w:rPr>
  </w:style>
  <w:style w:type="paragraph" w:customStyle="1" w:styleId="30">
    <w:name w:val="p0"/>
    <w:basedOn w:val="1"/>
    <w:uiPriority w:val="0"/>
    <w:pPr>
      <w:widowControl/>
    </w:pPr>
    <w:rPr>
      <w:kern w:val="0"/>
      <w:szCs w:val="21"/>
    </w:rPr>
  </w:style>
  <w:style w:type="character" w:customStyle="1" w:styleId="31">
    <w:name w:val="font21"/>
    <w:basedOn w:val="19"/>
    <w:qFormat/>
    <w:uiPriority w:val="0"/>
    <w:rPr>
      <w:rFonts w:hint="eastAsia" w:ascii="宋体" w:hAnsi="宋体" w:eastAsia="宋体" w:cs="宋体"/>
      <w:color w:val="000000"/>
      <w:sz w:val="24"/>
      <w:szCs w:val="24"/>
      <w:u w:val="none"/>
    </w:rPr>
  </w:style>
  <w:style w:type="character" w:customStyle="1" w:styleId="32">
    <w:name w:val="纯文本 Char"/>
    <w:basedOn w:val="19"/>
    <w:link w:val="8"/>
    <w:uiPriority w:val="0"/>
    <w:rPr>
      <w:rFonts w:ascii="宋体" w:hAnsi="Courier New" w:cs="Courier New"/>
      <w:kern w:val="2"/>
      <w:sz w:val="21"/>
      <w:szCs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14</Pages>
  <Words>910</Words>
  <Characters>5189</Characters>
  <Lines>43</Lines>
  <Paragraphs>12</Paragraphs>
  <TotalTime>13</TotalTime>
  <ScaleCrop>false</ScaleCrop>
  <LinksUpToDate>false</LinksUpToDate>
  <CharactersWithSpaces>6087</CharactersWithSpaces>
  <Application>WPS Office_11.1.0.9584_F1E327BC-269C-435d-A152-05C5408002CA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2019-07-29T01:20:00Z</dcterms:created>
  <dc:creator>lb</dc:creator>
  <cp:lastModifiedBy>Administrator</cp:lastModifiedBy>
  <cp:lastPrinted>2014-11-26T02:48:00Z</cp:lastPrinted>
  <dcterms:modified xsi:type="dcterms:W3CDTF">2020-04-22T08:23:03Z</dcterms:modified>
  <dc:title>青岛市人民政府</dc:title>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2052-11.1.0.9584</vt:lpwstr>
  </property>
</Properties>
</file>