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附件</w:t>
      </w:r>
    </w:p>
    <w:p>
      <w:pPr>
        <w:spacing w:line="560" w:lineRule="exact"/>
        <w:jc w:val="left"/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</w:pPr>
    </w:p>
    <w:p>
      <w:pPr>
        <w:spacing w:line="560" w:lineRule="exact"/>
        <w:jc w:val="center"/>
        <w:rPr>
          <w:rFonts w:hint="eastAsia" w:ascii="黑体" w:hAnsi="黑体" w:eastAsia="黑体" w:cs="黑体"/>
          <w:sz w:val="44"/>
          <w:szCs w:val="44"/>
          <w:highlight w:val="none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sz w:val="44"/>
          <w:szCs w:val="44"/>
          <w:highlight w:val="none"/>
          <w:lang w:val="en-US" w:eastAsia="zh-CN"/>
        </w:rPr>
        <w:t>2024“创客中国”（青岛赛区）暨第十届</w:t>
      </w:r>
    </w:p>
    <w:p>
      <w:pPr>
        <w:spacing w:line="560" w:lineRule="exact"/>
        <w:jc w:val="center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highlight w:val="none"/>
          <w:lang w:val="en-US" w:eastAsia="zh-CN"/>
        </w:rPr>
        <w:t>“市长杯”·海创汇·中小企业创新创业大赛创客赛决赛成绩</w:t>
      </w:r>
    </w:p>
    <w:bookmarkEnd w:id="0"/>
    <w:p>
      <w:pPr>
        <w:ind w:right="560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tbl>
      <w:tblPr>
        <w:tblStyle w:val="6"/>
        <w:tblW w:w="52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7"/>
        <w:gridCol w:w="4640"/>
        <w:gridCol w:w="2987"/>
        <w:gridCol w:w="12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31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-619" w:leftChars="-295" w:firstLine="618" w:firstLineChars="281"/>
              <w:jc w:val="center"/>
              <w:textAlignment w:val="center"/>
              <w:rPr>
                <w:rFonts w:hint="default" w:ascii="黑体" w:hAnsi="黑体" w:eastAsia="黑体" w:cs="黑体"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名次   </w:t>
            </w:r>
          </w:p>
        </w:tc>
        <w:tc>
          <w:tcPr>
            <w:tcW w:w="243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名称</w:t>
            </w:r>
          </w:p>
        </w:tc>
        <w:tc>
          <w:tcPr>
            <w:tcW w:w="15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团队名称</w:t>
            </w:r>
          </w:p>
        </w:tc>
        <w:tc>
          <w:tcPr>
            <w:tcW w:w="6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黑体" w:hAnsi="黑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1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43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莓净悦——含黑树莓提取物HPV清除复合凝胶</w:t>
            </w:r>
          </w:p>
        </w:tc>
        <w:tc>
          <w:tcPr>
            <w:tcW w:w="15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青岛优铭斯生物科技团队</w:t>
            </w:r>
          </w:p>
        </w:tc>
        <w:tc>
          <w:tcPr>
            <w:tcW w:w="1275" w:type="dxa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92.74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1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43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光声之芯尖端产品研发及产业化</w:t>
            </w:r>
          </w:p>
        </w:tc>
        <w:tc>
          <w:tcPr>
            <w:tcW w:w="15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灵鹰光芯（深圳）科技团队</w:t>
            </w:r>
          </w:p>
        </w:tc>
        <w:tc>
          <w:tcPr>
            <w:tcW w:w="1275" w:type="dxa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90.84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1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43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青纺一号——力敏电子织物引领者</w:t>
            </w:r>
          </w:p>
        </w:tc>
        <w:tc>
          <w:tcPr>
            <w:tcW w:w="15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华港科技团队</w:t>
            </w:r>
          </w:p>
        </w:tc>
        <w:tc>
          <w:tcPr>
            <w:tcW w:w="1275" w:type="dxa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90.60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1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43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“泵”发力量——打赢无脉冲核心技术攻坚战</w:t>
            </w:r>
          </w:p>
        </w:tc>
        <w:tc>
          <w:tcPr>
            <w:tcW w:w="15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“泵”发力量团队</w:t>
            </w:r>
          </w:p>
        </w:tc>
        <w:tc>
          <w:tcPr>
            <w:tcW w:w="1275" w:type="dxa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90.40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1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43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生长氮化铝晶体项目</w:t>
            </w:r>
          </w:p>
        </w:tc>
        <w:tc>
          <w:tcPr>
            <w:tcW w:w="15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山东顺烨电子团队</w:t>
            </w:r>
          </w:p>
        </w:tc>
        <w:tc>
          <w:tcPr>
            <w:tcW w:w="1275" w:type="dxa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89.80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1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43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热隐甲-新一代超低发射率红外隐身材料开创者</w:t>
            </w:r>
          </w:p>
        </w:tc>
        <w:tc>
          <w:tcPr>
            <w:tcW w:w="15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热隐科技团队</w:t>
            </w:r>
          </w:p>
        </w:tc>
        <w:tc>
          <w:tcPr>
            <w:tcW w:w="1275" w:type="dxa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89.05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1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43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“闻”所未闻——打造嗅觉交互新模式</w:t>
            </w:r>
          </w:p>
        </w:tc>
        <w:tc>
          <w:tcPr>
            <w:tcW w:w="15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高维空间团队</w:t>
            </w:r>
          </w:p>
        </w:tc>
        <w:tc>
          <w:tcPr>
            <w:tcW w:w="1275" w:type="dxa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89.04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1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43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MOF基电极材料在超电领域的产业化应用</w:t>
            </w:r>
          </w:p>
        </w:tc>
        <w:tc>
          <w:tcPr>
            <w:tcW w:w="15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基电团队</w:t>
            </w:r>
          </w:p>
        </w:tc>
        <w:tc>
          <w:tcPr>
            <w:tcW w:w="1275" w:type="dxa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88.98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1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43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“锂安先锋，蓄势待发”——储能电站的全方位守护专家</w:t>
            </w:r>
          </w:p>
        </w:tc>
        <w:tc>
          <w:tcPr>
            <w:tcW w:w="15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锂安先锋团队</w:t>
            </w:r>
          </w:p>
        </w:tc>
        <w:tc>
          <w:tcPr>
            <w:tcW w:w="1275" w:type="dxa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88.86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1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439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消防强突机器人</w:t>
            </w:r>
          </w:p>
        </w:tc>
        <w:tc>
          <w:tcPr>
            <w:tcW w:w="1570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华创诺安（青岛）智能科技团队</w:t>
            </w:r>
          </w:p>
        </w:tc>
        <w:tc>
          <w:tcPr>
            <w:tcW w:w="1275" w:type="dxa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87.32</w:t>
            </w: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/>
    <w:sectPr>
      <w:pgSz w:w="11906" w:h="16838"/>
      <w:pgMar w:top="1758" w:right="1474" w:bottom="1418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3FACFF7"/>
    <w:multiLevelType w:val="singleLevel"/>
    <w:tmpl w:val="C3FACFF7"/>
    <w:lvl w:ilvl="0" w:tentative="0">
      <w:start w:val="1"/>
      <w:numFmt w:val="decimal"/>
      <w:pStyle w:val="12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6357DB"/>
    <w:rsid w:val="1EB314DA"/>
    <w:rsid w:val="4EB3B944"/>
    <w:rsid w:val="5D7F3C31"/>
    <w:rsid w:val="5F5CA7F4"/>
    <w:rsid w:val="67A43256"/>
    <w:rsid w:val="6FFFA270"/>
    <w:rsid w:val="7C6357DB"/>
    <w:rsid w:val="7D9D3BE9"/>
    <w:rsid w:val="7FED18E4"/>
    <w:rsid w:val="B5FF818B"/>
    <w:rsid w:val="BB8ED664"/>
    <w:rsid w:val="BBFE015C"/>
    <w:rsid w:val="C5FF1929"/>
    <w:rsid w:val="CD75D402"/>
    <w:rsid w:val="DC9980DE"/>
    <w:rsid w:val="DEBB639F"/>
    <w:rsid w:val="E1DF327C"/>
    <w:rsid w:val="E5EAA88D"/>
    <w:rsid w:val="EF1893FE"/>
    <w:rsid w:val="F32DF827"/>
    <w:rsid w:val="F7BF4999"/>
    <w:rsid w:val="FBFF6ED4"/>
    <w:rsid w:val="FDDB2234"/>
    <w:rsid w:val="FEDE877B"/>
    <w:rsid w:val="FF3FF537"/>
    <w:rsid w:val="FF7E2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outlineLvl w:val="0"/>
    </w:pPr>
    <w:rPr>
      <w:rFonts w:eastAsia="黑体"/>
      <w:kern w:val="44"/>
      <w:sz w:val="32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1"/>
    </w:pPr>
    <w:rPr>
      <w:rFonts w:ascii="Arial" w:hAnsi="Arial" w:eastAsia="楷体_GB2312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2"/>
    </w:p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itle"/>
    <w:basedOn w:val="1"/>
    <w:next w:val="1"/>
    <w:qFormat/>
    <w:uiPriority w:val="0"/>
    <w:pPr>
      <w:spacing w:beforeLines="0" w:beforeAutospacing="0" w:afterLines="0" w:afterAutospacing="0" w:line="640" w:lineRule="exact"/>
      <w:ind w:firstLine="0" w:firstLineChars="0"/>
      <w:jc w:val="center"/>
      <w:outlineLvl w:val="0"/>
    </w:pPr>
    <w:rPr>
      <w:rFonts w:ascii="方正小标宋简体" w:hAnsi="方正小标宋简体" w:eastAsia="方正小标宋简体" w:cs="Times New Roman"/>
      <w:color w:val="auto"/>
      <w:sz w:val="44"/>
      <w:szCs w:val="32"/>
    </w:rPr>
  </w:style>
  <w:style w:type="paragraph" w:customStyle="1" w:styleId="8">
    <w:name w:val="一级标题"/>
    <w:basedOn w:val="1"/>
    <w:next w:val="1"/>
    <w:qFormat/>
    <w:uiPriority w:val="0"/>
    <w:pPr>
      <w:keepNext/>
      <w:keepLines/>
      <w:spacing w:beforeLines="0" w:afterLines="0" w:line="560" w:lineRule="exact"/>
      <w:ind w:firstLine="880" w:firstLineChars="200"/>
      <w:outlineLvl w:val="0"/>
    </w:pPr>
    <w:rPr>
      <w:rFonts w:hint="eastAsia" w:ascii="黑体" w:hAnsi="黑体" w:eastAsia="黑体" w:cs="Times New Roman"/>
      <w:color w:val="auto"/>
      <w:kern w:val="44"/>
      <w:sz w:val="32"/>
      <w:szCs w:val="24"/>
    </w:rPr>
  </w:style>
  <w:style w:type="paragraph" w:customStyle="1" w:styleId="9">
    <w:name w:val="二级标题"/>
    <w:basedOn w:val="1"/>
    <w:next w:val="1"/>
    <w:qFormat/>
    <w:uiPriority w:val="0"/>
    <w:pPr>
      <w:spacing w:line="560" w:lineRule="exact"/>
      <w:ind w:firstLine="880" w:firstLineChars="200"/>
    </w:pPr>
    <w:rPr>
      <w:rFonts w:hint="eastAsia" w:ascii="楷体_GB2312" w:hAnsi="楷体_GB2312" w:eastAsia="楷体_GB2312" w:cs="仿宋_GB2312"/>
      <w:b/>
      <w:color w:val="auto"/>
      <w:sz w:val="32"/>
      <w:szCs w:val="24"/>
    </w:rPr>
  </w:style>
  <w:style w:type="paragraph" w:customStyle="1" w:styleId="10">
    <w:name w:val="公文正文"/>
    <w:basedOn w:val="1"/>
    <w:next w:val="1"/>
    <w:qFormat/>
    <w:uiPriority w:val="0"/>
    <w:pPr>
      <w:spacing w:line="560" w:lineRule="exact"/>
      <w:ind w:firstLine="880" w:firstLineChars="200"/>
    </w:pPr>
    <w:rPr>
      <w:rFonts w:hint="eastAsia" w:ascii="仿宋_GB2312" w:hAnsi="仿宋_GB2312" w:eastAsia="仿宋_GB2312" w:cs="Times New Roman"/>
      <w:color w:val="auto"/>
      <w:sz w:val="32"/>
      <w:szCs w:val="24"/>
    </w:rPr>
  </w:style>
  <w:style w:type="paragraph" w:customStyle="1" w:styleId="11">
    <w:name w:val="公文题目"/>
    <w:basedOn w:val="1"/>
    <w:qFormat/>
    <w:uiPriority w:val="0"/>
    <w:pPr>
      <w:spacing w:beforeLines="0" w:after="100" w:afterLines="100" w:line="640" w:lineRule="exact"/>
      <w:jc w:val="center"/>
      <w:outlineLvl w:val="0"/>
    </w:pPr>
    <w:rPr>
      <w:rFonts w:hint="eastAsia" w:ascii="Arial" w:hAnsi="Arial" w:eastAsia="方正小标宋简体" w:cs="Times New Roman"/>
      <w:color w:val="auto"/>
      <w:sz w:val="44"/>
      <w:szCs w:val="32"/>
    </w:rPr>
  </w:style>
  <w:style w:type="paragraph" w:customStyle="1" w:styleId="12">
    <w:name w:val="三级标题"/>
    <w:basedOn w:val="1"/>
    <w:qFormat/>
    <w:uiPriority w:val="0"/>
    <w:pPr>
      <w:numPr>
        <w:ilvl w:val="0"/>
        <w:numId w:val="1"/>
      </w:numPr>
      <w:spacing w:line="560" w:lineRule="exact"/>
      <w:ind w:left="0" w:firstLine="640" w:firstLineChars="200"/>
    </w:pPr>
    <w:rPr>
      <w:rFonts w:hint="eastAsia" w:ascii="仿宋_GB2312" w:hAnsi="仿宋_GB2312" w:eastAsia="仿宋_GB2312" w:cs="仿宋_GB2312"/>
      <w:b/>
      <w:color w:val="auto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Office_12.8.2.1113_F1E327BC-269C-435d-A152-05C5408002CA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2024-09-26T10:31:00Z</dcterms:created>
  <dc:creator>qhtf</dc:creator>
  <cp:lastModifiedBy>qhtf</cp:lastModifiedBy>
  <dcterms:modified xsi:type="dcterms:W3CDTF">2024-09-26T10:35:31Z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2052-12.8.2.1113</vt:lpwstr>
  </property>
  <property fmtid="{D5CDD505-2E9C-101B-9397-08002B2CF9AE}" pid="3" name="ICV">
    <vt:lpwstr>D0548355ED043A2D75C7F46607773B98_41</vt:lpwstr>
  </property>
</Properties>
</file>