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45B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560" w:lineRule="exact"/>
        <w:jc w:val="center"/>
        <w:textAlignment w:val="auto"/>
        <w:outlineLvl w:val="2"/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</w:rPr>
        <w:t>“青穗联动 智启未来”青岛市创新型产业对标</w:t>
      </w:r>
    </w:p>
    <w:p w14:paraId="5AFA5A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560" w:lineRule="exact"/>
        <w:jc w:val="center"/>
        <w:textAlignment w:val="auto"/>
        <w:outlineLvl w:val="2"/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</w:rPr>
        <w:t>暨中小企业创新力提升活动采购评分标准</w:t>
      </w:r>
    </w:p>
    <w:tbl>
      <w:tblPr>
        <w:tblStyle w:val="6"/>
        <w:tblW w:w="5394" w:type="pct"/>
        <w:tblInd w:w="-298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328"/>
        <w:gridCol w:w="2346"/>
        <w:gridCol w:w="2551"/>
        <w:gridCol w:w="3339"/>
      </w:tblGrid>
      <w:tr w14:paraId="6772D3D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4" w:hRule="atLeast"/>
        </w:trPr>
        <w:tc>
          <w:tcPr>
            <w:tcW w:w="69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48FCA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hAnsi="仿宋" w:eastAsia="仿宋" w:cs="仿宋"/>
                <w:bCs/>
                <w:color w:val="000000" w:themeColor="text1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lang w:val="zh-CN"/>
              </w:rPr>
              <w:t>评分因素</w:t>
            </w:r>
          </w:p>
        </w:tc>
        <w:tc>
          <w:tcPr>
            <w:tcW w:w="12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C6BFA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hAnsi="仿宋" w:eastAsia="仿宋" w:cs="仿宋"/>
                <w:bCs/>
                <w:color w:val="000000" w:themeColor="text1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lang w:val="zh-CN"/>
              </w:rPr>
              <w:t>商务部分</w:t>
            </w:r>
          </w:p>
        </w:tc>
        <w:tc>
          <w:tcPr>
            <w:tcW w:w="133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C09C8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hAnsi="仿宋" w:eastAsia="仿宋" w:cs="仿宋"/>
                <w:bCs/>
                <w:color w:val="000000" w:themeColor="text1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lang w:val="zh-CN"/>
              </w:rPr>
              <w:t>技术部分</w:t>
            </w:r>
          </w:p>
        </w:tc>
        <w:tc>
          <w:tcPr>
            <w:tcW w:w="174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90489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hAnsi="仿宋" w:eastAsia="仿宋" w:cs="仿宋"/>
                <w:bCs/>
                <w:color w:val="000000" w:themeColor="text1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4"/>
                <w:lang w:val="zh-CN"/>
              </w:rPr>
              <w:t>总分</w:t>
            </w:r>
          </w:p>
        </w:tc>
      </w:tr>
      <w:tr w14:paraId="0E7C30C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06" w:hRule="atLeast"/>
        </w:trPr>
        <w:tc>
          <w:tcPr>
            <w:tcW w:w="69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80F2A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zh-CN"/>
              </w:rPr>
              <w:t>分值比重</w:t>
            </w:r>
          </w:p>
        </w:tc>
        <w:tc>
          <w:tcPr>
            <w:tcW w:w="12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6043F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28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zh-CN"/>
              </w:rPr>
              <w:t>分</w:t>
            </w:r>
          </w:p>
        </w:tc>
        <w:tc>
          <w:tcPr>
            <w:tcW w:w="133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0A4E8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72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zh-CN"/>
              </w:rPr>
              <w:t>分</w:t>
            </w:r>
          </w:p>
        </w:tc>
        <w:tc>
          <w:tcPr>
            <w:tcW w:w="174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E9659">
            <w:pPr>
              <w:tabs>
                <w:tab w:val="left" w:pos="6480"/>
              </w:tabs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zh-CN"/>
              </w:rPr>
              <w:t>100分</w:t>
            </w:r>
          </w:p>
        </w:tc>
      </w:tr>
    </w:tbl>
    <w:p w14:paraId="11CA2AA9">
      <w:pPr>
        <w:rPr>
          <w:rFonts w:ascii="仿宋" w:hAnsi="仿宋" w:eastAsia="仿宋" w:cs="仿宋"/>
          <w:color w:val="000000" w:themeColor="text1"/>
          <w:sz w:val="24"/>
        </w:rPr>
      </w:pPr>
    </w:p>
    <w:tbl>
      <w:tblPr>
        <w:tblStyle w:val="6"/>
        <w:tblW w:w="9585" w:type="dxa"/>
        <w:tblInd w:w="-21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1"/>
        <w:gridCol w:w="1955"/>
        <w:gridCol w:w="773"/>
        <w:gridCol w:w="5516"/>
      </w:tblGrid>
      <w:tr w14:paraId="14ED9B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96" w:type="dxa"/>
            <w:gridSpan w:val="2"/>
          </w:tcPr>
          <w:p w14:paraId="090C1F16">
            <w:pPr>
              <w:spacing w:line="360" w:lineRule="auto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评分项目</w:t>
            </w:r>
          </w:p>
        </w:tc>
        <w:tc>
          <w:tcPr>
            <w:tcW w:w="773" w:type="dxa"/>
          </w:tcPr>
          <w:p w14:paraId="70309113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分数</w:t>
            </w:r>
          </w:p>
        </w:tc>
        <w:tc>
          <w:tcPr>
            <w:tcW w:w="5516" w:type="dxa"/>
          </w:tcPr>
          <w:p w14:paraId="24F54E34">
            <w:pPr>
              <w:spacing w:line="360" w:lineRule="auto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评分标准</w:t>
            </w:r>
          </w:p>
        </w:tc>
      </w:tr>
      <w:tr w14:paraId="02BCF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41" w:type="dxa"/>
            <w:vMerge w:val="restart"/>
            <w:vAlign w:val="center"/>
          </w:tcPr>
          <w:p w14:paraId="72C169BE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商务部分</w:t>
            </w:r>
          </w:p>
        </w:tc>
        <w:tc>
          <w:tcPr>
            <w:tcW w:w="1955" w:type="dxa"/>
            <w:vAlign w:val="center"/>
          </w:tcPr>
          <w:p w14:paraId="34715FD4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响应报价</w:t>
            </w:r>
          </w:p>
        </w:tc>
        <w:tc>
          <w:tcPr>
            <w:tcW w:w="773" w:type="dxa"/>
            <w:vAlign w:val="center"/>
          </w:tcPr>
          <w:p w14:paraId="59CFC41B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10分</w:t>
            </w:r>
          </w:p>
        </w:tc>
        <w:tc>
          <w:tcPr>
            <w:tcW w:w="5516" w:type="dxa"/>
            <w:vAlign w:val="center"/>
          </w:tcPr>
          <w:p w14:paraId="14CED2D3">
            <w:pPr>
              <w:spacing w:line="400" w:lineRule="exact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满足磋商文件要求且响应价格（或者最终价格）最低的响应报价为评标基准价，其价格分为满分。</w:t>
            </w:r>
          </w:p>
          <w:p w14:paraId="741FC243">
            <w:pPr>
              <w:spacing w:line="400" w:lineRule="exact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其它报价得分=评标基准价÷（响应报价或者最终价格）×10。</w:t>
            </w:r>
          </w:p>
        </w:tc>
      </w:tr>
      <w:tr w14:paraId="260391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41" w:type="dxa"/>
            <w:vMerge w:val="continue"/>
          </w:tcPr>
          <w:p w14:paraId="7D2947F5">
            <w:pPr>
              <w:spacing w:line="360" w:lineRule="auto"/>
              <w:rPr>
                <w:rFonts w:ascii="仿宋" w:hAnsi="仿宋" w:eastAsia="仿宋" w:cs="仿宋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26CC6EDA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企业业绩</w:t>
            </w:r>
          </w:p>
        </w:tc>
        <w:tc>
          <w:tcPr>
            <w:tcW w:w="773" w:type="dxa"/>
            <w:vAlign w:val="center"/>
          </w:tcPr>
          <w:p w14:paraId="23579688">
            <w:pPr>
              <w:spacing w:line="360" w:lineRule="auto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12分</w:t>
            </w:r>
          </w:p>
        </w:tc>
        <w:tc>
          <w:tcPr>
            <w:tcW w:w="5516" w:type="dxa"/>
            <w:vAlign w:val="center"/>
          </w:tcPr>
          <w:p w14:paraId="07B9E902">
            <w:pPr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供应商自2022年1月1日至今已签订的同类项目（以合同签订时间为准），每有一个同类业绩得4分，最高得 12分。</w:t>
            </w:r>
          </w:p>
          <w:p w14:paraId="7C091B41">
            <w:pPr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注：须提供同类项目的合同原件或加盖公章复印件，证明材料缺项或未提供的不得分</w:t>
            </w:r>
          </w:p>
        </w:tc>
      </w:tr>
      <w:tr w14:paraId="003CC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41" w:type="dxa"/>
            <w:vMerge w:val="continue"/>
          </w:tcPr>
          <w:p w14:paraId="2DB95026">
            <w:pPr>
              <w:spacing w:line="360" w:lineRule="auto"/>
              <w:rPr>
                <w:rFonts w:ascii="仿宋" w:hAnsi="仿宋" w:eastAsia="仿宋" w:cs="仿宋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7573844F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</w:rPr>
              <w:t>企业荣誉</w:t>
            </w:r>
          </w:p>
        </w:tc>
        <w:tc>
          <w:tcPr>
            <w:tcW w:w="773" w:type="dxa"/>
            <w:vAlign w:val="center"/>
          </w:tcPr>
          <w:p w14:paraId="49974556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6分</w:t>
            </w:r>
          </w:p>
        </w:tc>
        <w:tc>
          <w:tcPr>
            <w:tcW w:w="5516" w:type="dxa"/>
            <w:vAlign w:val="center"/>
          </w:tcPr>
          <w:p w14:paraId="6B20B287">
            <w:pPr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自2022年1月1日至今（近三年）具有副省级及以上行政主管部门颁发的荣誉证书的，每有一个得2分，满分6分，未提供不得分。须提供荣誉证书原件或加盖公章的复印件，否则不得分。</w:t>
            </w:r>
          </w:p>
        </w:tc>
      </w:tr>
      <w:tr w14:paraId="0E902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341" w:type="dxa"/>
            <w:vMerge w:val="restart"/>
            <w:vAlign w:val="center"/>
          </w:tcPr>
          <w:p w14:paraId="64E25C58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技术部分</w:t>
            </w:r>
          </w:p>
        </w:tc>
        <w:tc>
          <w:tcPr>
            <w:tcW w:w="1955" w:type="dxa"/>
            <w:vAlign w:val="center"/>
          </w:tcPr>
          <w:p w14:paraId="743B03ED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响应情况</w:t>
            </w:r>
          </w:p>
        </w:tc>
        <w:tc>
          <w:tcPr>
            <w:tcW w:w="773" w:type="dxa"/>
            <w:vAlign w:val="center"/>
          </w:tcPr>
          <w:p w14:paraId="0CAE92CD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17分</w:t>
            </w:r>
          </w:p>
        </w:tc>
        <w:tc>
          <w:tcPr>
            <w:tcW w:w="5516" w:type="dxa"/>
          </w:tcPr>
          <w:p w14:paraId="38A67439">
            <w:pPr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全部满足实质性条款要求的得17分。</w:t>
            </w:r>
          </w:p>
          <w:p w14:paraId="0E0753BE">
            <w:pPr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每出现1项条款未响应，扣除基础分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分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</w:rPr>
              <w:t>。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出现3条及以上的，响应情况项不得分。</w:t>
            </w:r>
          </w:p>
        </w:tc>
      </w:tr>
      <w:tr w14:paraId="6C8B8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41" w:type="dxa"/>
            <w:vMerge w:val="continue"/>
          </w:tcPr>
          <w:p w14:paraId="5BA7698C">
            <w:pPr>
              <w:spacing w:line="360" w:lineRule="auto"/>
              <w:rPr>
                <w:rFonts w:ascii="仿宋" w:hAnsi="仿宋" w:eastAsia="仿宋" w:cs="仿宋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1D02ABAF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服务方案</w:t>
            </w:r>
          </w:p>
        </w:tc>
        <w:tc>
          <w:tcPr>
            <w:tcW w:w="773" w:type="dxa"/>
            <w:vAlign w:val="center"/>
          </w:tcPr>
          <w:p w14:paraId="45D62B60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15分</w:t>
            </w:r>
          </w:p>
        </w:tc>
        <w:tc>
          <w:tcPr>
            <w:tcW w:w="5516" w:type="dxa"/>
          </w:tcPr>
          <w:p w14:paraId="34DFD52C">
            <w:pPr>
              <w:autoSpaceDE w:val="0"/>
              <w:autoSpaceDN w:val="0"/>
              <w:adjustRightInd w:val="0"/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1.针对本项目的服务标准及要求，对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</w:rPr>
              <w:t>拟邀请的粤港澳大湾区产业交流企业、创投机构及专家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</w:rPr>
              <w:t>主题分享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课程设计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</w:rPr>
              <w:t>标杆企业、科研院所及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高校观摩交流等整体服务方案进行评价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</w:rPr>
              <w:t>。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服务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方案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内容全面、具体细致及措施切实可行，完全满足采购文件的，得5分；服务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方案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不够细致具备可行性，得3分；服务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方案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有严重缺项，缺乏可行性，得1分；未提供不得分。</w:t>
            </w:r>
          </w:p>
          <w:p w14:paraId="2B442BCA">
            <w:pPr>
              <w:autoSpaceDE w:val="0"/>
              <w:autoSpaceDN w:val="0"/>
              <w:adjustRightInd w:val="0"/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2.供应商方案应详尽涵盖面向参会嘉宾的《报到须知》与签到流程设计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基于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</w:rPr>
              <w:t>广州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本地交通与会议议程的合理化、全流程动线规划；紧扣活动主题与品牌形象的系列化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、高品质物料创意设计；以及能够营造沉浸式体验、确保效果可视化的会场搭建与舞美设计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eastAsia="zh-CN"/>
              </w:rPr>
              <w:t>。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方案系统全面，流程严谨，具备卓越的落地执行力得5分；方案基本可行，流程完整但细节不足，具备基本执行力得3分；服务流程有严重缺项，缺乏可行性，得1分；未提供不得分。</w:t>
            </w:r>
          </w:p>
          <w:p w14:paraId="3B4CE8AD">
            <w:pPr>
              <w:autoSpaceDE w:val="0"/>
              <w:autoSpaceDN w:val="0"/>
              <w:adjustRightInd w:val="0"/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3.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</w:rPr>
              <w:t>供应商提供合理的售后服务方案，包括持续跟进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</w:rPr>
              <w:t>青岛企业与创投机构、参访标杆企业及实验室的对接成果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</w:rPr>
              <w:t>参会企业满意度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</w:rPr>
              <w:t>活动成效等统计反馈，服务方案措施清晰、内容详细得5分，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服务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方案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不够细致具备可行性，得3分；服务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方案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有严重缺项，缺乏可行性，得1分；未提供不得分。</w:t>
            </w:r>
          </w:p>
        </w:tc>
      </w:tr>
      <w:tr w14:paraId="13A294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41" w:type="dxa"/>
            <w:vMerge w:val="continue"/>
          </w:tcPr>
          <w:p w14:paraId="72FC0CFE">
            <w:pPr>
              <w:spacing w:line="360" w:lineRule="auto"/>
              <w:rPr>
                <w:rFonts w:ascii="仿宋" w:hAnsi="仿宋" w:eastAsia="仿宋" w:cs="仿宋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0E641111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项目服务团队</w:t>
            </w:r>
          </w:p>
        </w:tc>
        <w:tc>
          <w:tcPr>
            <w:tcW w:w="773" w:type="dxa"/>
            <w:vAlign w:val="center"/>
          </w:tcPr>
          <w:p w14:paraId="7402F4ED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8分</w:t>
            </w:r>
          </w:p>
        </w:tc>
        <w:tc>
          <w:tcPr>
            <w:tcW w:w="5516" w:type="dxa"/>
            <w:vAlign w:val="center"/>
          </w:tcPr>
          <w:p w14:paraId="7891EE16">
            <w:pPr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人员职责分工明确，岗位安排合理、人员结构完整，组织管理措施得当，对团队人员的稳定性的保证措施得当，得8分；人员职责分工清楚，岗位安排切合本项目要求、有人员结构框架，组织管理措施有可行性，对团队人员的稳定性的保证措施有可行性，得5分；人员职责分工、岗位安排、人员结构、团队人员稳定性有略微瑕疵，得3分；人员职责分工不明确，岗位安排不合理、人员结构不完整，组织管理措施不当，对团队人员的稳定性的保证措施不当，得1分；未提供的不得分。</w:t>
            </w:r>
          </w:p>
        </w:tc>
      </w:tr>
      <w:tr w14:paraId="61B3B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41" w:type="dxa"/>
            <w:vMerge w:val="continue"/>
          </w:tcPr>
          <w:p w14:paraId="4A221BB5">
            <w:pPr>
              <w:spacing w:line="360" w:lineRule="auto"/>
              <w:rPr>
                <w:rFonts w:ascii="仿宋" w:hAnsi="仿宋" w:eastAsia="仿宋" w:cs="仿宋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0054713F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服务定位</w:t>
            </w:r>
          </w:p>
        </w:tc>
        <w:tc>
          <w:tcPr>
            <w:tcW w:w="773" w:type="dxa"/>
            <w:vAlign w:val="center"/>
          </w:tcPr>
          <w:p w14:paraId="2FE060D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8分</w:t>
            </w:r>
          </w:p>
        </w:tc>
        <w:tc>
          <w:tcPr>
            <w:tcW w:w="5516" w:type="dxa"/>
            <w:vAlign w:val="center"/>
          </w:tcPr>
          <w:p w14:paraId="62735167">
            <w:pPr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ascii="仿宋" w:hAnsi="仿宋" w:eastAsia="仿宋" w:cs="仿宋"/>
                <w:color w:val="000000" w:themeColor="text1"/>
                <w:sz w:val="24"/>
              </w:rPr>
              <w:t>从服务好项目角度出发进行综合评分，整体统筹规划、认识深刻、定位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合理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的，得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8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分；从服务好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项目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角度出发对项目的整体统筹规划、认识、定位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略有瑕疵的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，得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5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分；整体统筹规划、认识、定位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有严重缺项，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得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3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分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；方案不详细缺乏可行性，得1分；</w:t>
            </w:r>
            <w:r>
              <w:rPr>
                <w:rFonts w:ascii="仿宋" w:hAnsi="仿宋" w:eastAsia="仿宋" w:cs="仿宋"/>
                <w:color w:val="000000" w:themeColor="text1"/>
                <w:sz w:val="24"/>
              </w:rPr>
              <w:t>未提供不得分。</w:t>
            </w:r>
          </w:p>
        </w:tc>
      </w:tr>
      <w:tr w14:paraId="07C4E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41" w:type="dxa"/>
            <w:vMerge w:val="continue"/>
          </w:tcPr>
          <w:p w14:paraId="28B439A5">
            <w:pPr>
              <w:spacing w:line="360" w:lineRule="auto"/>
              <w:rPr>
                <w:rFonts w:ascii="仿宋" w:hAnsi="仿宋" w:eastAsia="仿宋" w:cs="仿宋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792824E0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项目理解</w:t>
            </w:r>
          </w:p>
        </w:tc>
        <w:tc>
          <w:tcPr>
            <w:tcW w:w="773" w:type="dxa"/>
            <w:vAlign w:val="center"/>
          </w:tcPr>
          <w:p w14:paraId="47F2B140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8分</w:t>
            </w:r>
          </w:p>
        </w:tc>
        <w:tc>
          <w:tcPr>
            <w:tcW w:w="5516" w:type="dxa"/>
            <w:vAlign w:val="center"/>
          </w:tcPr>
          <w:p w14:paraId="0E6F09E1">
            <w:pPr>
              <w:widowControl/>
              <w:autoSpaceDE w:val="0"/>
              <w:autoSpaceDN w:val="0"/>
              <w:adjustRightInd w:val="0"/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对项目的需求理解与分析、关键点、重点、难点环节把握进行综合打分。</w:t>
            </w:r>
            <w:r>
              <w:rPr>
                <w:rFonts w:hint="eastAsia" w:ascii="仿宋" w:hAnsi="仿宋" w:eastAsia="仿宋"/>
                <w:color w:val="000000" w:themeColor="text1"/>
                <w:sz w:val="24"/>
              </w:rPr>
              <w:t>项目理解全面完善、合理可行、清晰明确的，得8分；项目理解能满足项目要求的，得5分；项目理解有瑕疵的，得3分；内容有明显缺漏项，缺乏可行性，描述不清晰的，得1分；未提供不得分。</w:t>
            </w:r>
          </w:p>
        </w:tc>
      </w:tr>
      <w:tr w14:paraId="542FC4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41" w:type="dxa"/>
            <w:vMerge w:val="continue"/>
          </w:tcPr>
          <w:p w14:paraId="6D08ED33">
            <w:pPr>
              <w:spacing w:line="360" w:lineRule="auto"/>
              <w:rPr>
                <w:rFonts w:ascii="仿宋" w:hAnsi="仿宋" w:eastAsia="仿宋" w:cs="仿宋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7F142BDC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服务保障措施</w:t>
            </w:r>
          </w:p>
        </w:tc>
        <w:tc>
          <w:tcPr>
            <w:tcW w:w="773" w:type="dxa"/>
            <w:vAlign w:val="center"/>
          </w:tcPr>
          <w:p w14:paraId="30D3A3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8分</w:t>
            </w:r>
          </w:p>
        </w:tc>
        <w:tc>
          <w:tcPr>
            <w:tcW w:w="5516" w:type="dxa"/>
            <w:vAlign w:val="center"/>
          </w:tcPr>
          <w:p w14:paraId="2852928E">
            <w:pPr>
              <w:widowControl/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各项服务保证措施、保密措施制定科学、合理，建立完整的工作台帐、工作信息收集、反馈等客户质量保证措施。对服务保障措施的全面性、合理性进行综合评价：</w:t>
            </w:r>
          </w:p>
          <w:p w14:paraId="1043E4AF">
            <w:pPr>
              <w:widowControl/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供应商</w:t>
            </w:r>
            <w:r>
              <w:rPr>
                <w:rStyle w:val="13"/>
                <w:rFonts w:ascii="仿宋" w:hAnsi="仿宋" w:eastAsia="仿宋"/>
                <w:color w:val="000000" w:themeColor="text1"/>
                <w:sz w:val="24"/>
              </w:rPr>
              <w:t>组织机构及服务质量保证措施、能做到机构健全，建立完整的工作台帐、工作信息收集等客户质量保证措施，内容全面完善、合理可行、清晰明确的，得</w:t>
            </w: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8</w:t>
            </w:r>
            <w:r>
              <w:rPr>
                <w:rStyle w:val="13"/>
                <w:rFonts w:ascii="仿宋" w:hAnsi="仿宋" w:eastAsia="仿宋"/>
                <w:color w:val="000000" w:themeColor="text1"/>
                <w:sz w:val="24"/>
              </w:rPr>
              <w:t>分；内容无缺漏项，描述</w:t>
            </w: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可行</w:t>
            </w:r>
            <w:r>
              <w:rPr>
                <w:rStyle w:val="13"/>
                <w:rFonts w:ascii="仿宋" w:hAnsi="仿宋" w:eastAsia="仿宋"/>
                <w:color w:val="000000" w:themeColor="text1"/>
                <w:sz w:val="24"/>
              </w:rPr>
              <w:t>的，得</w:t>
            </w: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5</w:t>
            </w:r>
            <w:r>
              <w:rPr>
                <w:rStyle w:val="13"/>
                <w:rFonts w:ascii="仿宋" w:hAnsi="仿宋" w:eastAsia="仿宋"/>
                <w:color w:val="000000" w:themeColor="text1"/>
                <w:sz w:val="24"/>
              </w:rPr>
              <w:t>分；内容有缺漏，描述</w:t>
            </w: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略有瑕疵</w:t>
            </w:r>
            <w:r>
              <w:rPr>
                <w:rStyle w:val="13"/>
                <w:rFonts w:ascii="仿宋" w:hAnsi="仿宋" w:eastAsia="仿宋"/>
                <w:color w:val="000000" w:themeColor="text1"/>
                <w:sz w:val="24"/>
              </w:rPr>
              <w:t>的，得</w:t>
            </w: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3</w:t>
            </w:r>
            <w:r>
              <w:rPr>
                <w:rStyle w:val="13"/>
                <w:rFonts w:ascii="仿宋" w:hAnsi="仿宋" w:eastAsia="仿宋"/>
                <w:color w:val="000000" w:themeColor="text1"/>
                <w:sz w:val="24"/>
              </w:rPr>
              <w:t>分；内容有缺漏，描述不清晰的</w:t>
            </w: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，</w:t>
            </w:r>
            <w:r>
              <w:rPr>
                <w:rFonts w:hint="eastAsia" w:ascii="仿宋" w:hAnsi="仿宋" w:eastAsia="仿宋"/>
                <w:color w:val="000000" w:themeColor="text1"/>
                <w:sz w:val="24"/>
              </w:rPr>
              <w:t>缺乏可行性</w:t>
            </w:r>
            <w:r>
              <w:rPr>
                <w:rStyle w:val="13"/>
                <w:rFonts w:ascii="仿宋" w:hAnsi="仿宋" w:eastAsia="仿宋"/>
                <w:color w:val="000000" w:themeColor="text1"/>
                <w:sz w:val="24"/>
              </w:rPr>
              <w:t>，得</w:t>
            </w: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1</w:t>
            </w:r>
            <w:r>
              <w:rPr>
                <w:rStyle w:val="13"/>
                <w:rFonts w:ascii="仿宋" w:hAnsi="仿宋" w:eastAsia="仿宋"/>
                <w:color w:val="000000" w:themeColor="text1"/>
                <w:sz w:val="24"/>
              </w:rPr>
              <w:t>分；未提供不得分。</w:t>
            </w:r>
          </w:p>
        </w:tc>
      </w:tr>
      <w:tr w14:paraId="5A00B5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41" w:type="dxa"/>
            <w:vMerge w:val="continue"/>
          </w:tcPr>
          <w:p w14:paraId="752AD978">
            <w:pPr>
              <w:spacing w:line="360" w:lineRule="auto"/>
              <w:rPr>
                <w:rFonts w:ascii="仿宋" w:hAnsi="仿宋" w:eastAsia="仿宋" w:cs="仿宋"/>
                <w:color w:val="000000" w:themeColor="text1"/>
                <w:sz w:val="24"/>
              </w:rPr>
            </w:pPr>
          </w:p>
        </w:tc>
        <w:tc>
          <w:tcPr>
            <w:tcW w:w="1955" w:type="dxa"/>
            <w:vAlign w:val="center"/>
          </w:tcPr>
          <w:p w14:paraId="14E54909">
            <w:pPr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应急服务方案</w:t>
            </w:r>
          </w:p>
        </w:tc>
        <w:tc>
          <w:tcPr>
            <w:tcW w:w="773" w:type="dxa"/>
            <w:vAlign w:val="center"/>
          </w:tcPr>
          <w:p w14:paraId="46E15880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仿宋" w:hAnsi="仿宋" w:eastAsia="仿宋" w:cs="仿宋"/>
                <w:color w:val="000000" w:themeColor="text1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</w:rPr>
              <w:t>8分</w:t>
            </w:r>
          </w:p>
        </w:tc>
        <w:tc>
          <w:tcPr>
            <w:tcW w:w="5516" w:type="dxa"/>
            <w:vAlign w:val="center"/>
          </w:tcPr>
          <w:p w14:paraId="5345E9D7">
            <w:pPr>
              <w:widowControl/>
              <w:spacing w:line="360" w:lineRule="auto"/>
              <w:ind w:firstLine="480" w:firstLineChars="200"/>
              <w:rPr>
                <w:rStyle w:val="13"/>
                <w:rFonts w:ascii="仿宋" w:hAnsi="仿宋" w:eastAsia="仿宋"/>
                <w:color w:val="000000" w:themeColor="text1"/>
                <w:sz w:val="24"/>
              </w:rPr>
            </w:pP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供应商根据本项目制定应急服务方案（包括但不限于活动场地突发状况应急方案、人员安全应急方案等），根据提供方案的全面性、科学性、合理性、针对性进行综合评审：</w:t>
            </w:r>
          </w:p>
          <w:p w14:paraId="522F56FF">
            <w:pPr>
              <w:widowControl/>
              <w:spacing w:line="360" w:lineRule="auto"/>
              <w:ind w:firstLine="480" w:firstLineChars="200"/>
              <w:rPr>
                <w:rStyle w:val="13"/>
                <w:rFonts w:ascii="仿宋" w:hAnsi="仿宋" w:eastAsia="仿宋"/>
                <w:color w:val="000000" w:themeColor="text1"/>
                <w:sz w:val="24"/>
              </w:rPr>
            </w:pP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应急服务方案及措施针对性强，全面详尽可行性强、措施实施的步骤方法科学合理得8分；</w:t>
            </w:r>
          </w:p>
          <w:p w14:paraId="4BB0A19C">
            <w:pPr>
              <w:widowControl/>
              <w:spacing w:line="360" w:lineRule="auto"/>
              <w:ind w:firstLine="480" w:firstLineChars="200"/>
              <w:rPr>
                <w:rStyle w:val="13"/>
                <w:rFonts w:ascii="仿宋" w:hAnsi="仿宋" w:eastAsia="仿宋"/>
                <w:color w:val="000000" w:themeColor="text1"/>
                <w:sz w:val="24"/>
              </w:rPr>
            </w:pP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应急服务方案及措施有瑕疵且具有大众化，措施实施的步骤方法基础均具有可行性得5分；</w:t>
            </w:r>
          </w:p>
          <w:p w14:paraId="1F309F1C">
            <w:pPr>
              <w:widowControl/>
              <w:spacing w:line="360" w:lineRule="auto"/>
              <w:ind w:firstLine="480" w:firstLineChars="200"/>
              <w:rPr>
                <w:rStyle w:val="13"/>
                <w:rFonts w:ascii="仿宋" w:hAnsi="仿宋" w:eastAsia="仿宋"/>
                <w:color w:val="000000" w:themeColor="text1"/>
                <w:sz w:val="24"/>
              </w:rPr>
            </w:pP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应急服务方案及措施简单粗略，措施实施的步骤方法部分</w:t>
            </w:r>
            <w:r>
              <w:rPr>
                <w:rStyle w:val="13"/>
                <w:rFonts w:ascii="仿宋" w:hAnsi="仿宋" w:eastAsia="仿宋"/>
                <w:color w:val="000000" w:themeColor="text1"/>
                <w:sz w:val="24"/>
              </w:rPr>
              <w:t>有缺漏</w:t>
            </w:r>
            <w:r>
              <w:rPr>
                <w:rStyle w:val="13"/>
                <w:rFonts w:hint="eastAsia" w:ascii="仿宋" w:hAnsi="仿宋" w:eastAsia="仿宋"/>
                <w:color w:val="000000" w:themeColor="text1"/>
                <w:sz w:val="24"/>
              </w:rPr>
              <w:t>的得3分；应急服务方案及措施描述不清晰的，缺乏可行性，得1分；未提供不得分。</w:t>
            </w:r>
          </w:p>
        </w:tc>
      </w:tr>
    </w:tbl>
    <w:p w14:paraId="41FD122E">
      <w:pPr>
        <w:pStyle w:val="5"/>
        <w:ind w:left="0" w:leftChars="0" w:firstLine="0" w:firstLineChars="0"/>
        <w:rPr>
          <w:rFonts w:ascii="Calibri" w:hAnsi="Calibri"/>
          <w:color w:val="000000" w:themeColor="text1"/>
          <w:kern w:val="2"/>
          <w:sz w:val="21"/>
          <w:szCs w:val="22"/>
        </w:rPr>
      </w:pPr>
    </w:p>
    <w:p w14:paraId="481C267C"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7D25DF"/>
    <w:rsid w:val="007D25DF"/>
    <w:rsid w:val="008F6558"/>
    <w:rsid w:val="027E034C"/>
    <w:rsid w:val="05340028"/>
    <w:rsid w:val="0D1D5845"/>
    <w:rsid w:val="1F325180"/>
    <w:rsid w:val="22995516"/>
    <w:rsid w:val="25A93CC2"/>
    <w:rsid w:val="3DCB0822"/>
    <w:rsid w:val="4546194F"/>
    <w:rsid w:val="642108EC"/>
    <w:rsid w:val="73903399"/>
    <w:rsid w:val="7E960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1"/>
    <w:semiHidden/>
    <w:unhideWhenUsed/>
    <w:uiPriority w:val="99"/>
    <w:pPr>
      <w:spacing w:after="120"/>
      <w:ind w:left="420" w:leftChars="200"/>
    </w:p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First Indent 2"/>
    <w:basedOn w:val="2"/>
    <w:link w:val="12"/>
    <w:qFormat/>
    <w:uiPriority w:val="0"/>
    <w:pPr>
      <w:ind w:firstLine="420" w:firstLineChars="200"/>
    </w:pPr>
    <w:rPr>
      <w:rFonts w:ascii="Times New Roman" w:hAnsi="Times New Roman" w:eastAsia="宋体" w:cs="Times New Roman"/>
      <w:kern w:val="0"/>
      <w:sz w:val="20"/>
      <w:szCs w:val="24"/>
    </w:rPr>
  </w:style>
  <w:style w:type="character" w:styleId="8">
    <w:name w:val="Strong"/>
    <w:basedOn w:val="7"/>
    <w:qFormat/>
    <w:uiPriority w:val="22"/>
    <w:rPr>
      <w:b/>
    </w:rPr>
  </w:style>
  <w:style w:type="character" w:customStyle="1" w:styleId="9">
    <w:name w:val="页眉 Char"/>
    <w:basedOn w:val="7"/>
    <w:link w:val="4"/>
    <w:semiHidden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uiPriority w:val="99"/>
    <w:rPr>
      <w:sz w:val="18"/>
      <w:szCs w:val="18"/>
    </w:rPr>
  </w:style>
  <w:style w:type="character" w:customStyle="1" w:styleId="11">
    <w:name w:val="正文文本缩进 Char"/>
    <w:basedOn w:val="7"/>
    <w:link w:val="2"/>
    <w:semiHidden/>
    <w:uiPriority w:val="99"/>
  </w:style>
  <w:style w:type="character" w:customStyle="1" w:styleId="12">
    <w:name w:val="正文首行缩进 2 Char"/>
    <w:basedOn w:val="11"/>
    <w:link w:val="5"/>
    <w:qFormat/>
    <w:uiPriority w:val="0"/>
    <w:rPr>
      <w:rFonts w:ascii="Times New Roman" w:hAnsi="Times New Roman" w:eastAsia="宋体" w:cs="Times New Roman"/>
      <w:kern w:val="0"/>
      <w:sz w:val="20"/>
      <w:szCs w:val="24"/>
    </w:rPr>
  </w:style>
  <w:style w:type="character" w:customStyle="1" w:styleId="13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1803</Words>
  <Characters>1823</Characters>
  <Lines>13</Lines>
  <Paragraphs>3</Paragraphs>
  <TotalTime>1</TotalTime>
  <ScaleCrop>false</ScaleCrop>
  <LinksUpToDate>false</LinksUpToDate>
  <CharactersWithSpaces>1824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2025-10-13T08:10:00Z</dcterms:created>
  <dc:creator>THTF</dc:creator>
  <cp:lastModifiedBy>陪伴@</cp:lastModifiedBy>
  <dcterms:modified xsi:type="dcterms:W3CDTF">2025-10-13T09:03:06Z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eyJoZGlkIjoiMGMzNDIyY2ZjMmY4ZjJhNDMzODU0OWU1ZDVmMGMzMWIiLCJ1c2VySWQiOiIzNjY3MDk1NjMifQ==</vt:lpwstr>
  </property>
  <property fmtid="{D5CDD505-2E9C-101B-9397-08002B2CF9AE}" pid="3" name="KSOProductBuildVer">
    <vt:lpwstr>2052-12.1.0.22529</vt:lpwstr>
  </property>
  <property fmtid="{D5CDD505-2E9C-101B-9397-08002B2CF9AE}" pid="4" name="ICV">
    <vt:lpwstr>763DBC382FD14EF59BE08660010B613B_12</vt:lpwstr>
  </property>
</Properties>
</file>