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F28FD3">
      <w:pPr>
        <w:autoSpaceDE/>
        <w:autoSpaceDN/>
        <w:spacing w:line="560" w:lineRule="exact"/>
        <w:jc w:val="center"/>
        <w:rPr>
          <w:rFonts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青岛市企业服务平台信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创适配迁移项目</w:t>
      </w:r>
    </w:p>
    <w:p w14:paraId="54DC6E51">
      <w:pPr>
        <w:autoSpaceDE/>
        <w:autoSpaceDN/>
        <w:spacing w:line="560" w:lineRule="exact"/>
        <w:jc w:val="center"/>
        <w:rPr>
          <w:rFonts w:ascii="方正小标宋_GBK" w:hAnsi="Calibri" w:eastAsia="方正小标宋_GBK" w:cs="Times New Roman"/>
          <w:bCs/>
          <w:kern w:val="2"/>
          <w:sz w:val="44"/>
          <w:szCs w:val="44"/>
        </w:rPr>
      </w:pPr>
      <w:r>
        <w:rPr>
          <w:rFonts w:hint="eastAsia" w:ascii="方正小标宋_GBK" w:hAnsi="Calibri" w:eastAsia="方正小标宋_GBK" w:cs="Times New Roman"/>
          <w:bCs/>
          <w:kern w:val="2"/>
          <w:sz w:val="44"/>
          <w:szCs w:val="44"/>
        </w:rPr>
        <w:t>采购评分标准</w:t>
      </w:r>
    </w:p>
    <w:p w14:paraId="1C9CD374">
      <w:pPr>
        <w:spacing w:before="36"/>
        <w:ind w:left="1092"/>
        <w:rPr>
          <w:sz w:val="24"/>
        </w:rPr>
      </w:pPr>
    </w:p>
    <w:tbl>
      <w:tblPr>
        <w:tblStyle w:val="7"/>
        <w:tblW w:w="10502" w:type="dxa"/>
        <w:tblInd w:w="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7"/>
        <w:gridCol w:w="1455"/>
        <w:gridCol w:w="1470"/>
        <w:gridCol w:w="5924"/>
        <w:gridCol w:w="856"/>
      </w:tblGrid>
      <w:tr w14:paraId="2765B5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797" w:type="dxa"/>
            <w:vAlign w:val="center"/>
          </w:tcPr>
          <w:p w14:paraId="03D3EF4A">
            <w:pPr>
              <w:pStyle w:val="11"/>
              <w:spacing w:line="307" w:lineRule="auto"/>
              <w:ind w:right="144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序号</w:t>
            </w:r>
          </w:p>
        </w:tc>
        <w:tc>
          <w:tcPr>
            <w:tcW w:w="1455" w:type="dxa"/>
            <w:vAlign w:val="center"/>
          </w:tcPr>
          <w:p w14:paraId="37871EF1">
            <w:pPr>
              <w:pStyle w:val="11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评审内容</w:t>
            </w:r>
          </w:p>
        </w:tc>
        <w:tc>
          <w:tcPr>
            <w:tcW w:w="1470" w:type="dxa"/>
            <w:vAlign w:val="center"/>
          </w:tcPr>
          <w:p w14:paraId="2D2C627C">
            <w:pPr>
              <w:pStyle w:val="11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具体指标</w:t>
            </w:r>
          </w:p>
        </w:tc>
        <w:tc>
          <w:tcPr>
            <w:tcW w:w="5924" w:type="dxa"/>
            <w:vAlign w:val="center"/>
          </w:tcPr>
          <w:p w14:paraId="19E75855">
            <w:pPr>
              <w:pStyle w:val="11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评分参考标准</w:t>
            </w:r>
          </w:p>
        </w:tc>
        <w:tc>
          <w:tcPr>
            <w:tcW w:w="856" w:type="dxa"/>
            <w:vAlign w:val="center"/>
          </w:tcPr>
          <w:p w14:paraId="58E180FF">
            <w:pPr>
              <w:pStyle w:val="11"/>
              <w:spacing w:line="307" w:lineRule="auto"/>
              <w:ind w:right="144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分值</w:t>
            </w:r>
          </w:p>
        </w:tc>
      </w:tr>
      <w:tr w14:paraId="1585FF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8" w:hRule="atLeast"/>
        </w:trPr>
        <w:tc>
          <w:tcPr>
            <w:tcW w:w="797" w:type="dxa"/>
            <w:vMerge w:val="restart"/>
            <w:vAlign w:val="center"/>
          </w:tcPr>
          <w:p w14:paraId="31152936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  <w:r>
              <w:rPr>
                <w:rFonts w:hint="eastAsia" w:ascii="仿宋"/>
                <w:spacing w:val="-10"/>
                <w:sz w:val="24"/>
              </w:rPr>
              <w:t>1</w:t>
            </w:r>
          </w:p>
        </w:tc>
        <w:tc>
          <w:tcPr>
            <w:tcW w:w="1455" w:type="dxa"/>
            <w:vMerge w:val="restart"/>
            <w:vAlign w:val="center"/>
          </w:tcPr>
          <w:p w14:paraId="205B4CD3">
            <w:pPr>
              <w:pStyle w:val="11"/>
              <w:spacing w:line="307" w:lineRule="auto"/>
              <w:ind w:left="395" w:right="144" w:hanging="240"/>
              <w:jc w:val="center"/>
              <w:rPr>
                <w:rFonts w:ascii="黑体" w:eastAsia="黑体"/>
                <w:spacing w:val="-4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sz w:val="28"/>
                <w:szCs w:val="28"/>
              </w:rPr>
              <w:t>商务部分</w:t>
            </w:r>
          </w:p>
        </w:tc>
        <w:tc>
          <w:tcPr>
            <w:tcW w:w="1470" w:type="dxa"/>
            <w:vAlign w:val="center"/>
          </w:tcPr>
          <w:p w14:paraId="279A374A">
            <w:pPr>
              <w:pStyle w:val="11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报价得分</w:t>
            </w:r>
          </w:p>
        </w:tc>
        <w:tc>
          <w:tcPr>
            <w:tcW w:w="5924" w:type="dxa"/>
          </w:tcPr>
          <w:p w14:paraId="7A1577BE">
            <w:pPr>
              <w:widowControl/>
              <w:adjustRightInd w:val="0"/>
              <w:spacing w:line="400" w:lineRule="exact"/>
              <w:ind w:firstLine="480" w:firstLineChars="200"/>
              <w:rPr>
                <w:rStyle w:val="12"/>
                <w:rFonts w:cs="仿宋"/>
                <w:sz w:val="24"/>
                <w:szCs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以满足招标文件要求且投标报价最低的投标价格为评标基准价，其价格分为满分。其他投标人的价格分统一按照下列公式计算:投标报价得分=（评标基准价/投标报价）×10</w:t>
            </w:r>
          </w:p>
          <w:p w14:paraId="70EC32FA">
            <w:pPr>
              <w:widowControl/>
              <w:adjustRightInd w:val="0"/>
              <w:spacing w:line="400" w:lineRule="exact"/>
              <w:ind w:firstLine="480" w:firstLineChars="200"/>
              <w:rPr>
                <w:rStyle w:val="12"/>
                <w:rFonts w:cs="仿宋"/>
                <w:sz w:val="24"/>
                <w:szCs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供应商报价高于项目预算无效。</w:t>
            </w:r>
          </w:p>
        </w:tc>
        <w:tc>
          <w:tcPr>
            <w:tcW w:w="856" w:type="dxa"/>
            <w:vAlign w:val="center"/>
          </w:tcPr>
          <w:p w14:paraId="36BA3BBB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10分</w:t>
            </w:r>
          </w:p>
        </w:tc>
      </w:tr>
      <w:tr w14:paraId="69D979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8" w:hRule="atLeast"/>
        </w:trPr>
        <w:tc>
          <w:tcPr>
            <w:tcW w:w="797" w:type="dxa"/>
            <w:vMerge w:val="continue"/>
            <w:vAlign w:val="center"/>
          </w:tcPr>
          <w:p w14:paraId="7E06E265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455" w:type="dxa"/>
            <w:vMerge w:val="continue"/>
            <w:vAlign w:val="center"/>
          </w:tcPr>
          <w:p w14:paraId="66FEE14A">
            <w:pPr>
              <w:pStyle w:val="11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snapToGrid w:val="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14:paraId="6993BA7E">
            <w:pPr>
              <w:widowControl/>
              <w:adjustRightInd w:val="0"/>
              <w:spacing w:line="36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同类业绩</w:t>
            </w:r>
          </w:p>
        </w:tc>
        <w:tc>
          <w:tcPr>
            <w:tcW w:w="5924" w:type="dxa"/>
          </w:tcPr>
          <w:p w14:paraId="6184A27D">
            <w:pPr>
              <w:widowControl/>
              <w:adjustRightInd w:val="0"/>
              <w:spacing w:line="400" w:lineRule="exact"/>
              <w:ind w:firstLine="480" w:firstLineChars="200"/>
              <w:rPr>
                <w:rStyle w:val="12"/>
                <w:rFonts w:cs="仿宋"/>
                <w:sz w:val="24"/>
                <w:szCs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自2022年1月1日至今成功实施的同类信息化项目，每提供一个项目合同得3分，满分15分。</w:t>
            </w:r>
          </w:p>
          <w:p w14:paraId="4BA05302">
            <w:pPr>
              <w:widowControl/>
              <w:adjustRightInd w:val="0"/>
              <w:spacing w:line="400" w:lineRule="exact"/>
              <w:ind w:firstLine="480" w:firstLineChars="200"/>
              <w:rPr>
                <w:rStyle w:val="12"/>
                <w:rFonts w:cs="仿宋"/>
                <w:sz w:val="24"/>
                <w:szCs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供应商须提供同类项目合同原件（或复印件加盖公章），未提供不得分。业绩时间以同类项目合同中标注的时间为准。</w:t>
            </w:r>
          </w:p>
        </w:tc>
        <w:tc>
          <w:tcPr>
            <w:tcW w:w="856" w:type="dxa"/>
            <w:vAlign w:val="center"/>
          </w:tcPr>
          <w:p w14:paraId="04630818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15分</w:t>
            </w:r>
          </w:p>
        </w:tc>
      </w:tr>
      <w:tr w14:paraId="3D38B5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6" w:hRule="atLeast"/>
        </w:trPr>
        <w:tc>
          <w:tcPr>
            <w:tcW w:w="797" w:type="dxa"/>
            <w:vMerge w:val="continue"/>
          </w:tcPr>
          <w:p w14:paraId="26BBD12B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455" w:type="dxa"/>
            <w:vMerge w:val="continue"/>
            <w:vAlign w:val="center"/>
          </w:tcPr>
          <w:p w14:paraId="046B2B34">
            <w:pPr>
              <w:pStyle w:val="11"/>
              <w:spacing w:line="307" w:lineRule="auto"/>
              <w:ind w:left="395" w:right="144" w:hanging="240"/>
              <w:jc w:val="center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470" w:type="dxa"/>
            <w:vAlign w:val="center"/>
          </w:tcPr>
          <w:p w14:paraId="2088F7CB">
            <w:pPr>
              <w:widowControl/>
              <w:adjustRightInd w:val="0"/>
              <w:spacing w:line="36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企业认证</w:t>
            </w:r>
          </w:p>
          <w:p w14:paraId="58BDC6ED">
            <w:pPr>
              <w:widowControl/>
              <w:adjustRightInd w:val="0"/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及荣誉</w:t>
            </w:r>
          </w:p>
        </w:tc>
        <w:tc>
          <w:tcPr>
            <w:tcW w:w="5924" w:type="dxa"/>
          </w:tcPr>
          <w:p w14:paraId="506BB4F8">
            <w:pPr>
              <w:widowControl/>
              <w:adjustRightInd w:val="0"/>
              <w:spacing w:line="400" w:lineRule="exact"/>
              <w:ind w:firstLine="440" w:firstLineChars="200"/>
              <w:rPr>
                <w:rStyle w:val="12"/>
                <w:rFonts w:hint="eastAsia"/>
              </w:rPr>
            </w:pPr>
            <w:r>
              <w:rPr>
                <w:rStyle w:val="12"/>
              </w:rPr>
              <w:t>供应商通过有效期内的IS</w:t>
            </w:r>
            <w:r>
              <w:rPr>
                <w:rStyle w:val="12"/>
                <w:rFonts w:hint="eastAsia" w:eastAsia="仿宋"/>
                <w:lang w:val="en-US" w:eastAsia="zh-CN"/>
              </w:rPr>
              <w:t>O</w:t>
            </w:r>
            <w:r>
              <w:rPr>
                <w:rStyle w:val="12"/>
              </w:rPr>
              <w:t>27001信息安全管理体系认证得1分。</w:t>
            </w:r>
          </w:p>
          <w:p w14:paraId="4B6809D4">
            <w:pPr>
              <w:widowControl/>
              <w:adjustRightInd w:val="0"/>
              <w:spacing w:line="400" w:lineRule="exact"/>
              <w:ind w:firstLine="440" w:firstLineChars="200"/>
              <w:rPr>
                <w:rStyle w:val="12"/>
                <w:rFonts w:hint="eastAsia"/>
              </w:rPr>
            </w:pPr>
            <w:r>
              <w:rPr>
                <w:rStyle w:val="12"/>
              </w:rPr>
              <w:t>供应商通过有效期内的IS</w:t>
            </w:r>
            <w:r>
              <w:rPr>
                <w:rStyle w:val="12"/>
                <w:rFonts w:hint="eastAsia" w:eastAsia="仿宋"/>
                <w:lang w:val="en-US" w:eastAsia="zh-CN"/>
              </w:rPr>
              <w:t>O</w:t>
            </w:r>
            <w:r>
              <w:rPr>
                <w:rStyle w:val="12"/>
              </w:rPr>
              <w:t>20000信息技术服务管理体系认证得1分。</w:t>
            </w:r>
          </w:p>
          <w:p w14:paraId="5A9812BF">
            <w:pPr>
              <w:widowControl/>
              <w:adjustRightInd w:val="0"/>
              <w:spacing w:line="400" w:lineRule="exact"/>
              <w:ind w:firstLine="440" w:firstLineChars="200"/>
              <w:rPr>
                <w:rFonts w:ascii="仿宋_GB2312" w:hAnsi="仿宋_GB2312" w:eastAsia="仿宋_GB2312" w:cs="仿宋_GB2312"/>
                <w:spacing w:val="-31"/>
                <w:sz w:val="24"/>
              </w:rPr>
            </w:pPr>
            <w:r>
              <w:rPr>
                <w:rStyle w:val="12"/>
              </w:rPr>
              <w:t>供应商须提供证书原件（或复印件加盖公章），否则不得分。</w:t>
            </w:r>
          </w:p>
        </w:tc>
        <w:tc>
          <w:tcPr>
            <w:tcW w:w="856" w:type="dxa"/>
            <w:vAlign w:val="center"/>
          </w:tcPr>
          <w:p w14:paraId="17C5BDE9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2分</w:t>
            </w:r>
          </w:p>
        </w:tc>
      </w:tr>
      <w:tr w14:paraId="4026DF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4" w:hRule="atLeast"/>
        </w:trPr>
        <w:tc>
          <w:tcPr>
            <w:tcW w:w="797" w:type="dxa"/>
            <w:vMerge w:val="restart"/>
            <w:vAlign w:val="center"/>
          </w:tcPr>
          <w:p w14:paraId="094A7526">
            <w:pPr>
              <w:pStyle w:val="11"/>
              <w:ind w:left="6"/>
              <w:jc w:val="center"/>
              <w:rPr>
                <w:rFonts w:ascii="仿宋"/>
                <w:sz w:val="24"/>
              </w:rPr>
            </w:pPr>
            <w:r>
              <w:rPr>
                <w:rFonts w:ascii="仿宋"/>
                <w:spacing w:val="-10"/>
                <w:sz w:val="24"/>
              </w:rPr>
              <w:t>2</w:t>
            </w:r>
          </w:p>
        </w:tc>
        <w:tc>
          <w:tcPr>
            <w:tcW w:w="1455" w:type="dxa"/>
            <w:vMerge w:val="restart"/>
            <w:vAlign w:val="center"/>
          </w:tcPr>
          <w:p w14:paraId="49164873">
            <w:pPr>
              <w:pStyle w:val="11"/>
              <w:spacing w:line="307" w:lineRule="auto"/>
              <w:ind w:left="395" w:right="144" w:hanging="240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sz w:val="28"/>
                <w:szCs w:val="28"/>
              </w:rPr>
              <w:t>技术部分</w:t>
            </w:r>
          </w:p>
        </w:tc>
        <w:tc>
          <w:tcPr>
            <w:tcW w:w="1470" w:type="dxa"/>
            <w:vAlign w:val="center"/>
          </w:tcPr>
          <w:p w14:paraId="7A8BE14D">
            <w:pPr>
              <w:pStyle w:val="11"/>
              <w:spacing w:line="307" w:lineRule="auto"/>
              <w:ind w:right="144"/>
              <w:jc w:val="center"/>
              <w:rPr>
                <w:sz w:val="24"/>
              </w:rPr>
            </w:pPr>
            <w:r>
              <w:rPr>
                <w:rFonts w:hint="eastAsia" w:ascii="仿宋" w:eastAsia="仿宋" w:cs="仿宋"/>
                <w:sz w:val="24"/>
                <w:lang w:val="zh-CN"/>
              </w:rPr>
              <w:t>响应情况</w:t>
            </w:r>
          </w:p>
        </w:tc>
        <w:tc>
          <w:tcPr>
            <w:tcW w:w="5924" w:type="dxa"/>
          </w:tcPr>
          <w:p w14:paraId="4191E666">
            <w:pPr>
              <w:adjustRightInd w:val="0"/>
              <w:spacing w:line="360" w:lineRule="auto"/>
              <w:ind w:firstLine="480" w:firstLineChars="200"/>
              <w:rPr>
                <w:rFonts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基础分为</w:t>
            </w:r>
            <w:r>
              <w:rPr>
                <w:rFonts w:hint="eastAsia" w:asci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25</w:t>
            </w: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分。</w:t>
            </w:r>
          </w:p>
          <w:p w14:paraId="53F3E14F">
            <w:pPr>
              <w:widowControl/>
              <w:adjustRightInd w:val="0"/>
              <w:spacing w:line="400" w:lineRule="exact"/>
              <w:ind w:firstLine="480" w:firstLineChars="200"/>
              <w:rPr>
                <w:rFonts w:ascii="仿宋_GB2312" w:hAnsi="仿宋_GB2312" w:eastAsia="仿宋_GB2312" w:cs="仿宋_GB2312"/>
                <w:spacing w:val="-31"/>
                <w:sz w:val="24"/>
              </w:rPr>
            </w:pP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每出现</w:t>
            </w:r>
            <w:r>
              <w:rPr>
                <w:rFonts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条负偏离，扣除基础分</w:t>
            </w:r>
            <w:r>
              <w:rPr>
                <w:rFonts w:asci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分，出现</w:t>
            </w:r>
            <w:r>
              <w:rPr>
                <w:rFonts w:hint="eastAsia" w:asci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条及以上负偏离的，响应情况项不得分。</w:t>
            </w:r>
          </w:p>
        </w:tc>
        <w:tc>
          <w:tcPr>
            <w:tcW w:w="856" w:type="dxa"/>
            <w:vAlign w:val="center"/>
          </w:tcPr>
          <w:p w14:paraId="2856D263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25分</w:t>
            </w:r>
          </w:p>
        </w:tc>
      </w:tr>
      <w:tr w14:paraId="03F372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</w:trPr>
        <w:tc>
          <w:tcPr>
            <w:tcW w:w="797" w:type="dxa"/>
            <w:vMerge w:val="continue"/>
          </w:tcPr>
          <w:p w14:paraId="2B28F5F1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455" w:type="dxa"/>
            <w:vMerge w:val="continue"/>
          </w:tcPr>
          <w:p w14:paraId="3F6CB870">
            <w:pPr>
              <w:pStyle w:val="11"/>
              <w:spacing w:line="307" w:lineRule="auto"/>
              <w:ind w:left="395" w:right="144" w:hanging="240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470" w:type="dxa"/>
            <w:vAlign w:val="center"/>
          </w:tcPr>
          <w:p w14:paraId="15B49596">
            <w:pPr>
              <w:pStyle w:val="11"/>
              <w:spacing w:line="400" w:lineRule="atLeast"/>
              <w:ind w:left="107" w:right="97"/>
              <w:jc w:val="center"/>
              <w:rPr>
                <w:rFonts w:eastAsia="仿宋"/>
                <w:sz w:val="24"/>
                <w:lang w:val="zh-CN"/>
              </w:rPr>
            </w:pPr>
            <w:r>
              <w:rPr>
                <w:rFonts w:hint="eastAsia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对服务需求的理解</w:t>
            </w:r>
          </w:p>
        </w:tc>
        <w:tc>
          <w:tcPr>
            <w:tcW w:w="5924" w:type="dxa"/>
          </w:tcPr>
          <w:p w14:paraId="2FC425EB">
            <w:pPr>
              <w:pStyle w:val="11"/>
              <w:spacing w:before="89" w:line="308" w:lineRule="auto"/>
              <w:ind w:left="108" w:right="130" w:firstLine="480" w:firstLineChars="200"/>
              <w:rPr>
                <w:rStyle w:val="12"/>
                <w:rFonts w:cs="仿宋"/>
                <w:sz w:val="24"/>
                <w:szCs w:val="24"/>
                <w:lang w:val="zh-CN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供应商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结合自身对项目的认知及本项目招标需求，对项目建设背景、建设现状、建设目标、建设需求等内容进行分析。理解全面、深刻、有针对性，得10分；</w:t>
            </w:r>
            <w:r>
              <w:rPr>
                <w:rFonts w:hint="eastAsia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对服务需求的理解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有瑕疵，得7分；理解分析有严重缺陷，得4分；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未提供者不得分。</w:t>
            </w:r>
          </w:p>
        </w:tc>
        <w:tc>
          <w:tcPr>
            <w:tcW w:w="856" w:type="dxa"/>
            <w:vAlign w:val="center"/>
          </w:tcPr>
          <w:p w14:paraId="29FB6683">
            <w:pPr>
              <w:pStyle w:val="11"/>
              <w:ind w:left="6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10分</w:t>
            </w:r>
          </w:p>
        </w:tc>
      </w:tr>
      <w:tr w14:paraId="3FC7E4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</w:trPr>
        <w:tc>
          <w:tcPr>
            <w:tcW w:w="797" w:type="dxa"/>
            <w:vMerge w:val="continue"/>
          </w:tcPr>
          <w:p w14:paraId="364F3D11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455" w:type="dxa"/>
            <w:vMerge w:val="continue"/>
          </w:tcPr>
          <w:p w14:paraId="239BB689">
            <w:pPr>
              <w:pStyle w:val="11"/>
              <w:spacing w:line="307" w:lineRule="auto"/>
              <w:ind w:left="395" w:right="144" w:hanging="240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470" w:type="dxa"/>
            <w:vAlign w:val="center"/>
          </w:tcPr>
          <w:p w14:paraId="5B74AA89">
            <w:pPr>
              <w:pStyle w:val="11"/>
              <w:spacing w:line="400" w:lineRule="atLeast"/>
              <w:ind w:left="107" w:right="97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eastAsia="仿宋"/>
                <w:sz w:val="24"/>
                <w:lang w:val="zh-CN"/>
              </w:rPr>
              <w:t>服务方案</w:t>
            </w:r>
          </w:p>
        </w:tc>
        <w:tc>
          <w:tcPr>
            <w:tcW w:w="5924" w:type="dxa"/>
          </w:tcPr>
          <w:p w14:paraId="6C2F1732">
            <w:pPr>
              <w:pStyle w:val="11"/>
              <w:spacing w:before="89" w:line="308" w:lineRule="auto"/>
              <w:ind w:left="108" w:right="130" w:firstLine="480" w:firstLineChars="200"/>
              <w:rPr>
                <w:rFonts w:ascii="仿宋_GB2312" w:hAnsi="仿宋_GB2312" w:eastAsia="仿宋_GB2312" w:cs="仿宋_GB2312"/>
                <w:spacing w:val="-31"/>
                <w:sz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对项目建设内容深刻理解，服务整体实施方案明确、实施流程方案细致、时间安排合理、计划周全、有详细的可行性服务方案得</w:t>
            </w:r>
            <w:r>
              <w:rPr>
                <w:rStyle w:val="12"/>
                <w:rFonts w:hint="eastAsia" w:cs="仿宋"/>
                <w:sz w:val="24"/>
                <w:szCs w:val="24"/>
              </w:rPr>
              <w:t>20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分；对项目建设内容理解，服务整体实施方案较为明确、工作流程方案较为细致、时间安排较为合理、工作计划较为周全、有较为详细的可行性服务方案得</w:t>
            </w:r>
            <w:r>
              <w:rPr>
                <w:rStyle w:val="12"/>
                <w:rFonts w:hint="eastAsia" w:cs="仿宋"/>
                <w:sz w:val="24"/>
                <w:szCs w:val="24"/>
              </w:rPr>
              <w:t>15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分；提供项目方案有严重缺漏得10分；提供项目方案不可行得5分；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未提供者不得分。</w:t>
            </w:r>
          </w:p>
        </w:tc>
        <w:tc>
          <w:tcPr>
            <w:tcW w:w="856" w:type="dxa"/>
            <w:vAlign w:val="center"/>
          </w:tcPr>
          <w:p w14:paraId="600BBB1B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</w:t>
            </w:r>
            <w:r>
              <w:rPr>
                <w:rFonts w:hint="eastAsia" w:ascii="仿宋" w:hAnsi="仿宋" w:eastAsia="仿宋" w:cs="仿宋"/>
                <w:sz w:val="24"/>
                <w:lang w:val="zh-CN"/>
              </w:rPr>
              <w:t>分</w:t>
            </w:r>
          </w:p>
        </w:tc>
      </w:tr>
      <w:tr w14:paraId="4F347F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6" w:hRule="atLeast"/>
        </w:trPr>
        <w:tc>
          <w:tcPr>
            <w:tcW w:w="797" w:type="dxa"/>
            <w:vMerge w:val="continue"/>
          </w:tcPr>
          <w:p w14:paraId="7587DD09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455" w:type="dxa"/>
            <w:vMerge w:val="continue"/>
          </w:tcPr>
          <w:p w14:paraId="35499872">
            <w:pPr>
              <w:pStyle w:val="11"/>
              <w:spacing w:line="307" w:lineRule="auto"/>
              <w:ind w:left="395" w:right="144" w:hanging="240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470" w:type="dxa"/>
            <w:vAlign w:val="center"/>
          </w:tcPr>
          <w:p w14:paraId="1A3B1C42">
            <w:pPr>
              <w:spacing w:line="36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团队配备</w:t>
            </w:r>
          </w:p>
          <w:p w14:paraId="71AA68B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合理性</w:t>
            </w:r>
          </w:p>
        </w:tc>
        <w:tc>
          <w:tcPr>
            <w:tcW w:w="5924" w:type="dxa"/>
          </w:tcPr>
          <w:p w14:paraId="47D7D631">
            <w:pPr>
              <w:pStyle w:val="11"/>
              <w:spacing w:before="89" w:line="308" w:lineRule="auto"/>
              <w:ind w:left="108" w:right="130" w:firstLine="480" w:firstLineChars="200"/>
              <w:rPr>
                <w:rFonts w:ascii="仿宋_GB2312" w:hAnsi="仿宋_GB2312" w:eastAsia="仿宋_GB2312" w:cs="仿宋_GB2312"/>
                <w:spacing w:val="-31"/>
                <w:sz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对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供应商拟投入本项目开发人员的专业能力、结构，项目</w:t>
            </w:r>
            <w:r>
              <w:rPr>
                <w:rStyle w:val="12"/>
                <w:rFonts w:hint="eastAsia" w:cs="仿宋"/>
                <w:sz w:val="24"/>
                <w:szCs w:val="24"/>
              </w:rPr>
              <w:t>团队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成员包含项目总负责人、软件开发等岗位人员进行评价，岗位分工明确，人员结构好、</w:t>
            </w:r>
            <w:r>
              <w:rPr>
                <w:rStyle w:val="12"/>
                <w:rFonts w:hint="eastAsia" w:cs="仿宋"/>
                <w:sz w:val="24"/>
                <w:szCs w:val="24"/>
              </w:rPr>
              <w:t>项目实施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能力强、经验丰富的，得10分；岗位分工比较合理，人员结构基本满足要求、</w:t>
            </w:r>
            <w:r>
              <w:rPr>
                <w:rStyle w:val="12"/>
                <w:rFonts w:hint="eastAsia" w:cs="仿宋"/>
                <w:sz w:val="24"/>
                <w:szCs w:val="24"/>
              </w:rPr>
              <w:t>项目实施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能力普通、经验一般的，得7分；岗位分工一般，人员结构差、软件开发能力差、没有经验的，得</w:t>
            </w:r>
            <w:r>
              <w:rPr>
                <w:rStyle w:val="12"/>
                <w:rFonts w:hint="eastAsia" w:cs="仿宋"/>
                <w:sz w:val="24"/>
                <w:szCs w:val="24"/>
              </w:rPr>
              <w:t>4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分；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未提供者不得分。</w:t>
            </w:r>
          </w:p>
        </w:tc>
        <w:tc>
          <w:tcPr>
            <w:tcW w:w="856" w:type="dxa"/>
            <w:vAlign w:val="center"/>
          </w:tcPr>
          <w:p w14:paraId="19259977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10分</w:t>
            </w:r>
          </w:p>
        </w:tc>
      </w:tr>
      <w:tr w14:paraId="40DB7D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6" w:hRule="atLeast"/>
        </w:trPr>
        <w:tc>
          <w:tcPr>
            <w:tcW w:w="797" w:type="dxa"/>
            <w:vMerge w:val="continue"/>
            <w:tcBorders>
              <w:bottom w:val="single" w:color="auto" w:sz="4" w:space="0"/>
            </w:tcBorders>
          </w:tcPr>
          <w:p w14:paraId="1740AB2F">
            <w:pPr>
              <w:pStyle w:val="11"/>
              <w:ind w:left="6"/>
              <w:jc w:val="center"/>
              <w:rPr>
                <w:rFonts w:ascii="仿宋"/>
                <w:sz w:val="24"/>
              </w:rPr>
            </w:pPr>
          </w:p>
        </w:tc>
        <w:tc>
          <w:tcPr>
            <w:tcW w:w="1455" w:type="dxa"/>
            <w:vMerge w:val="continue"/>
            <w:tcBorders>
              <w:bottom w:val="single" w:color="auto" w:sz="4" w:space="0"/>
            </w:tcBorders>
          </w:tcPr>
          <w:p w14:paraId="449D49A2">
            <w:pPr>
              <w:pStyle w:val="11"/>
              <w:spacing w:line="307" w:lineRule="auto"/>
              <w:ind w:left="395" w:right="144" w:hanging="240"/>
              <w:rPr>
                <w:rFonts w:ascii="黑体" w:eastAsia="黑体"/>
                <w:sz w:val="24"/>
              </w:rPr>
            </w:pPr>
          </w:p>
        </w:tc>
        <w:tc>
          <w:tcPr>
            <w:tcW w:w="1470" w:type="dxa"/>
            <w:tcBorders>
              <w:bottom w:val="single" w:color="auto" w:sz="4" w:space="0"/>
            </w:tcBorders>
            <w:vAlign w:val="center"/>
          </w:tcPr>
          <w:p w14:paraId="4F258EFE">
            <w:pPr>
              <w:pStyle w:val="11"/>
              <w:spacing w:line="400" w:lineRule="atLeast"/>
              <w:ind w:left="107" w:right="97"/>
              <w:jc w:val="center"/>
              <w:rPr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人员资质要求</w:t>
            </w:r>
          </w:p>
        </w:tc>
        <w:tc>
          <w:tcPr>
            <w:tcW w:w="5924" w:type="dxa"/>
            <w:tcBorders>
              <w:bottom w:val="single" w:color="auto" w:sz="4" w:space="0"/>
            </w:tcBorders>
          </w:tcPr>
          <w:p w14:paraId="39422351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拟投入本项目的项目负责人具有信息系统项目管理师资格证书的得5分，【提供证书及其社保证明（网上打印或社保机构出具的证明）原件或复印件加盖供应商公章】； </w:t>
            </w:r>
          </w:p>
          <w:p w14:paraId="735B24E0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拟投入本项目的项目组人员（项目负责人除外）具有系统分析师资格的得1分、具有软件设计师资格的得1分、具有系统集成项目管理工程师资格的得1分。【</w:t>
            </w:r>
            <w:r>
              <w:rPr>
                <w:rFonts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1.团队同一人员具备多个证书的，仅计算一次。2.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提供证书及其社保证明（网上打印或社保机构出具的证明）原件或复印件加盖供应商公章】。</w:t>
            </w:r>
          </w:p>
          <w:p w14:paraId="0020CB97">
            <w:pPr>
              <w:widowControl/>
              <w:adjustRightInd w:val="0"/>
              <w:spacing w:line="360" w:lineRule="auto"/>
              <w:ind w:firstLine="480" w:firstLineChars="200"/>
              <w:rPr>
                <w:rStyle w:val="12"/>
                <w:rFonts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本项满分8分，未提供者不得分。</w:t>
            </w:r>
          </w:p>
        </w:tc>
        <w:tc>
          <w:tcPr>
            <w:tcW w:w="856" w:type="dxa"/>
            <w:tcBorders>
              <w:bottom w:val="single" w:color="auto" w:sz="4" w:space="0"/>
            </w:tcBorders>
            <w:vAlign w:val="center"/>
          </w:tcPr>
          <w:p w14:paraId="1366B6C5">
            <w:pPr>
              <w:pStyle w:val="11"/>
              <w:ind w:left="6"/>
              <w:jc w:val="center"/>
              <w:rPr>
                <w:rFonts w:ascii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8分</w:t>
            </w:r>
          </w:p>
        </w:tc>
      </w:tr>
      <w:tr w14:paraId="79607D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964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AA388">
            <w:pPr>
              <w:pStyle w:val="11"/>
              <w:jc w:val="center"/>
              <w:rPr>
                <w:rFonts w:ascii="Times New Roman"/>
                <w:sz w:val="24"/>
              </w:rPr>
            </w:pPr>
            <w:r>
              <w:rPr>
                <w:rFonts w:ascii="仿宋" w:eastAsia="仿宋"/>
                <w:spacing w:val="-10"/>
                <w:sz w:val="24"/>
              </w:rPr>
              <w:t>总</w:t>
            </w:r>
            <w:r>
              <w:rPr>
                <w:rFonts w:hint="eastAsia" w:ascii="仿宋" w:eastAsia="仿宋"/>
                <w:spacing w:val="-10"/>
                <w:sz w:val="24"/>
              </w:rPr>
              <w:t>分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01DBF2">
            <w:pPr>
              <w:pStyle w:val="11"/>
              <w:spacing w:before="76" w:line="304" w:lineRule="exact"/>
              <w:ind w:left="6"/>
              <w:jc w:val="center"/>
              <w:rPr>
                <w:rFonts w:ascii="仿宋"/>
                <w:sz w:val="24"/>
              </w:rPr>
            </w:pPr>
          </w:p>
        </w:tc>
      </w:tr>
    </w:tbl>
    <w:p w14:paraId="19B951AE"/>
    <w:sectPr>
      <w:footerReference r:id="rId3" w:type="default"/>
      <w:footerReference r:id="rId4" w:type="even"/>
      <w:pgSz w:w="11910" w:h="16840"/>
      <w:pgMar w:top="1920" w:right="708" w:bottom="1160" w:left="708" w:header="0" w:footer="971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PMingLiU">
    <w:altName w:val="Microsoft JhengHei UI"/>
    <w:panose1 w:val="02010601000101010101"/>
    <w:charset w:val="88"/>
    <w:family w:val="auto"/>
    <w:pitch w:val="default"/>
    <w:sig w:usb0="00000000" w:usb1="00000000" w:usb2="00000010" w:usb3="00000000" w:csb0="00100000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B32A9A">
    <w:pPr>
      <w:pStyle w:val="3"/>
      <w:spacing w:line="14" w:lineRule="auto"/>
      <w:ind w:left="0"/>
      <w:rPr>
        <w:sz w:val="20"/>
        <w:u w:val="none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6289040</wp:posOffset>
              </wp:positionH>
              <wp:positionV relativeFrom="page">
                <wp:posOffset>9935210</wp:posOffset>
              </wp:positionV>
              <wp:extent cx="178435" cy="203835"/>
              <wp:effectExtent l="0" t="0" r="0" b="0"/>
              <wp:wrapNone/>
              <wp:docPr id="5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843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646F376C">
                          <w:pPr>
                            <w:spacing w:line="321" w:lineRule="exact"/>
                            <w:ind w:left="60"/>
                            <w:rPr>
                              <w:sz w:val="28"/>
                            </w:rPr>
                          </w:pPr>
                          <w:r>
                            <w:rPr>
                              <w:spacing w:val="-1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8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8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" o:spid="_x0000_s1026" o:spt="202" type="#_x0000_t202" style="position:absolute;left:0pt;margin-left:495.2pt;margin-top:782.3pt;height:16.05pt;width:14.05pt;mso-position-horizontal-relative:page;mso-position-vertical-relative:page;z-index:-251657216;mso-width-relative:page;mso-height-relative:page;" filled="f" stroked="f" coordsize="21600,21600" o:gfxdata="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GYS9ytsAAAAOAQAADwAAAAAAAAABACAAAAAiAAAAZHJzL2Rvd25y&#10;ZXYueG1sUEsBAhQAFAAAAAgAh07iQI67oivCAQAApAMAAA4AAAAAAAAAAQAgAAAAKg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646F376C">
                    <w:pPr>
                      <w:spacing w:line="321" w:lineRule="exact"/>
                      <w:ind w:left="60"/>
                      <w:rPr>
                        <w:sz w:val="28"/>
                      </w:rPr>
                    </w:pPr>
                    <w:r>
                      <w:rPr>
                        <w:spacing w:val="-10"/>
                        <w:sz w:val="28"/>
                      </w:rPr>
                      <w:fldChar w:fldCharType="begin"/>
                    </w:r>
                    <w:r>
                      <w:rPr>
                        <w:spacing w:val="-10"/>
                        <w:sz w:val="28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8"/>
                      </w:rPr>
                      <w:fldChar w:fldCharType="separate"/>
                    </w:r>
                    <w:r>
                      <w:rPr>
                        <w:spacing w:val="-10"/>
                        <w:sz w:val="28"/>
                      </w:rPr>
                      <w:t>1</w:t>
                    </w:r>
                    <w:r>
                      <w:rPr>
                        <w:spacing w:val="-10"/>
                        <w:sz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BE6763">
    <w:pPr>
      <w:pStyle w:val="3"/>
      <w:spacing w:line="14" w:lineRule="auto"/>
      <w:ind w:left="0"/>
      <w:rPr>
        <w:sz w:val="20"/>
        <w:u w:val="none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1104900</wp:posOffset>
              </wp:positionH>
              <wp:positionV relativeFrom="page">
                <wp:posOffset>9935210</wp:posOffset>
              </wp:positionV>
              <wp:extent cx="178435" cy="203835"/>
              <wp:effectExtent l="0" t="0" r="0" b="0"/>
              <wp:wrapNone/>
              <wp:docPr id="6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843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70D83B7">
                          <w:pPr>
                            <w:spacing w:line="321" w:lineRule="exact"/>
                            <w:ind w:left="60"/>
                            <w:rPr>
                              <w:sz w:val="28"/>
                            </w:rPr>
                          </w:pPr>
                          <w:r>
                            <w:rPr>
                              <w:spacing w:val="-1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8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8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26" o:spt="202" type="#_x0000_t202" style="position:absolute;left:0pt;margin-left:87pt;margin-top:782.3pt;height:16.05pt;width:14.05pt;mso-position-horizontal-relative:page;mso-position-vertical-relative:page;z-index:-251656192;mso-width-relative:page;mso-height-relative:page;" filled="f" stroked="f" coordsize="21600,21600" o:gfxdata="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HxelYtoAAAANAQAADwAAAAAAAAABACAAAAAiAAAAZHJzL2Rvd25y&#10;ZXYueG1sUEsBAhQAFAAAAAgAh07iQOw7ApnDAQAApAMAAA4AAAAAAAAAAQAgAAAAKQ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70D83B7">
                    <w:pPr>
                      <w:spacing w:line="321" w:lineRule="exact"/>
                      <w:ind w:left="60"/>
                      <w:rPr>
                        <w:sz w:val="28"/>
                      </w:rPr>
                    </w:pPr>
                    <w:r>
                      <w:rPr>
                        <w:spacing w:val="-10"/>
                        <w:sz w:val="28"/>
                      </w:rPr>
                      <w:fldChar w:fldCharType="begin"/>
                    </w:r>
                    <w:r>
                      <w:rPr>
                        <w:spacing w:val="-10"/>
                        <w:sz w:val="28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8"/>
                      </w:rPr>
                      <w:fldChar w:fldCharType="separate"/>
                    </w:r>
                    <w:r>
                      <w:rPr>
                        <w:spacing w:val="-10"/>
                        <w:sz w:val="28"/>
                      </w:rPr>
                      <w:t>2</w:t>
                    </w:r>
                    <w:r>
                      <w:rPr>
                        <w:spacing w:val="-10"/>
                        <w:sz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trackRevisions w:val="1"/>
  <w:documentProtection w:enforcement="0"/>
  <w:defaultTabStop w:val="720"/>
  <w:evenAndOddHeaders w:val="1"/>
  <w:drawingGridHorizontalSpacing w:val="110"/>
  <w:displayHorizontalDrawingGridEvery w:val="2"/>
  <w:characterSpacingControl w:val="doNotCompress"/>
  <w:hdrShapeDefaults>
    <o:shapelayout v:ext="edit">
      <o:idmap v:ext="edit" data="1"/>
    </o:shapelayout>
  </w:hdrShapeDefaults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wOTQ0NWU3NzZlODBkNDFhMWE1YWFhZTA2ZWFiNjgifQ=="/>
  </w:docVars>
  <w:rsids>
    <w:rsidRoot w:val="003E0559"/>
    <w:rsid w:val="000E1D1E"/>
    <w:rsid w:val="003E0559"/>
    <w:rsid w:val="00867EF1"/>
    <w:rsid w:val="015038FB"/>
    <w:rsid w:val="021515E5"/>
    <w:rsid w:val="02E126E8"/>
    <w:rsid w:val="038B5154"/>
    <w:rsid w:val="03A2514E"/>
    <w:rsid w:val="046C12B8"/>
    <w:rsid w:val="06CD6F61"/>
    <w:rsid w:val="07107CE7"/>
    <w:rsid w:val="07397B77"/>
    <w:rsid w:val="0862337D"/>
    <w:rsid w:val="09842C00"/>
    <w:rsid w:val="0C1666D9"/>
    <w:rsid w:val="0E8333C1"/>
    <w:rsid w:val="10EF2275"/>
    <w:rsid w:val="11CC783A"/>
    <w:rsid w:val="14972381"/>
    <w:rsid w:val="17A41668"/>
    <w:rsid w:val="19AB7BC8"/>
    <w:rsid w:val="1ACB68E1"/>
    <w:rsid w:val="1B9A62B3"/>
    <w:rsid w:val="1D0460DA"/>
    <w:rsid w:val="1DCE79DE"/>
    <w:rsid w:val="1F5F1CED"/>
    <w:rsid w:val="1FE53488"/>
    <w:rsid w:val="21D7200F"/>
    <w:rsid w:val="22325497"/>
    <w:rsid w:val="229D5007"/>
    <w:rsid w:val="22AE0FC2"/>
    <w:rsid w:val="2358717F"/>
    <w:rsid w:val="242855A6"/>
    <w:rsid w:val="2529185C"/>
    <w:rsid w:val="2776E491"/>
    <w:rsid w:val="27AE55C0"/>
    <w:rsid w:val="28665E9B"/>
    <w:rsid w:val="2A544D4F"/>
    <w:rsid w:val="2B0917CA"/>
    <w:rsid w:val="2F964A23"/>
    <w:rsid w:val="31D22705"/>
    <w:rsid w:val="32513718"/>
    <w:rsid w:val="3260395B"/>
    <w:rsid w:val="3433BEAC"/>
    <w:rsid w:val="358C39DC"/>
    <w:rsid w:val="35ED3757"/>
    <w:rsid w:val="36E36908"/>
    <w:rsid w:val="3914371A"/>
    <w:rsid w:val="3A573895"/>
    <w:rsid w:val="3D6E5A2C"/>
    <w:rsid w:val="42B07FE6"/>
    <w:rsid w:val="44565FEF"/>
    <w:rsid w:val="44906321"/>
    <w:rsid w:val="458D460F"/>
    <w:rsid w:val="46585F18"/>
    <w:rsid w:val="46BA1434"/>
    <w:rsid w:val="492F0B19"/>
    <w:rsid w:val="49625D9E"/>
    <w:rsid w:val="4CDD5E7C"/>
    <w:rsid w:val="4DB12E65"/>
    <w:rsid w:val="4F31425D"/>
    <w:rsid w:val="511E4CB5"/>
    <w:rsid w:val="516402EA"/>
    <w:rsid w:val="52733715"/>
    <w:rsid w:val="52DE294E"/>
    <w:rsid w:val="5598565A"/>
    <w:rsid w:val="5879437D"/>
    <w:rsid w:val="5A364E1D"/>
    <w:rsid w:val="5B035F55"/>
    <w:rsid w:val="5B975AB9"/>
    <w:rsid w:val="5BCD1E2F"/>
    <w:rsid w:val="5CAD0D3F"/>
    <w:rsid w:val="5D437F7D"/>
    <w:rsid w:val="5FEF2630"/>
    <w:rsid w:val="61940EE5"/>
    <w:rsid w:val="62807784"/>
    <w:rsid w:val="63EA73A4"/>
    <w:rsid w:val="660B1854"/>
    <w:rsid w:val="677A5E8B"/>
    <w:rsid w:val="686B65DA"/>
    <w:rsid w:val="68E048D2"/>
    <w:rsid w:val="6BDF3567"/>
    <w:rsid w:val="6C240F7A"/>
    <w:rsid w:val="6EBC7B8F"/>
    <w:rsid w:val="6F51652A"/>
    <w:rsid w:val="72332802"/>
    <w:rsid w:val="74424693"/>
    <w:rsid w:val="74820F33"/>
    <w:rsid w:val="77690189"/>
    <w:rsid w:val="77ED700C"/>
    <w:rsid w:val="79F12DBF"/>
    <w:rsid w:val="7D99109C"/>
    <w:rsid w:val="7EA83C8C"/>
    <w:rsid w:val="7EEB7DCE"/>
    <w:rsid w:val="7EF243A6"/>
    <w:rsid w:val="7F8B3C2B"/>
    <w:rsid w:val="7FEF029D"/>
    <w:rsid w:val="7FFDAFC8"/>
    <w:rsid w:val="BFABA904"/>
    <w:rsid w:val="FEC90D6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qFormat/>
    <w:uiPriority w:val="1"/>
    <w:pPr>
      <w:spacing w:before="72"/>
      <w:ind w:left="660"/>
      <w:jc w:val="center"/>
      <w:outlineLvl w:val="0"/>
    </w:pPr>
    <w:rPr>
      <w:rFonts w:ascii="PMingLiU" w:hAnsi="PMingLiU" w:eastAsia="PMingLiU" w:cs="PMingLiU"/>
      <w:sz w:val="44"/>
      <w:szCs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1"/>
    <w:pPr>
      <w:ind w:left="1092"/>
    </w:pPr>
    <w:rPr>
      <w:sz w:val="24"/>
      <w:szCs w:val="24"/>
      <w:u w:val="single" w:color="000000"/>
    </w:rPr>
  </w:style>
  <w:style w:type="paragraph" w:styleId="4">
    <w:name w:val="Balloon Text"/>
    <w:basedOn w:val="1"/>
    <w:link w:val="15"/>
    <w:qFormat/>
    <w:uiPriority w:val="0"/>
    <w:rPr>
      <w:sz w:val="18"/>
      <w:szCs w:val="18"/>
    </w:rPr>
  </w:style>
  <w:style w:type="paragraph" w:styleId="5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样式 仿宋"/>
    <w:qFormat/>
    <w:uiPriority w:val="0"/>
    <w:rPr>
      <w:rFonts w:ascii="仿宋" w:hAnsi="仿宋" w:eastAsia="仿宋"/>
      <w:kern w:val="1"/>
    </w:rPr>
  </w:style>
  <w:style w:type="character" w:customStyle="1" w:styleId="13">
    <w:name w:val="页眉 Char"/>
    <w:basedOn w:val="8"/>
    <w:link w:val="6"/>
    <w:qFormat/>
    <w:uiPriority w:val="0"/>
    <w:rPr>
      <w:rFonts w:ascii="宋体" w:hAnsi="宋体" w:eastAsia="宋体" w:cs="宋体"/>
      <w:sz w:val="18"/>
      <w:szCs w:val="18"/>
    </w:rPr>
  </w:style>
  <w:style w:type="character" w:customStyle="1" w:styleId="14">
    <w:name w:val="页脚 Char"/>
    <w:basedOn w:val="8"/>
    <w:link w:val="5"/>
    <w:qFormat/>
    <w:uiPriority w:val="0"/>
    <w:rPr>
      <w:rFonts w:ascii="宋体" w:hAnsi="宋体" w:eastAsia="宋体" w:cs="宋体"/>
      <w:sz w:val="18"/>
      <w:szCs w:val="18"/>
    </w:rPr>
  </w:style>
  <w:style w:type="character" w:customStyle="1" w:styleId="15">
    <w:name w:val="批注框文本 Char"/>
    <w:basedOn w:val="8"/>
    <w:link w:val="4"/>
    <w:qFormat/>
    <w:uiPriority w:val="0"/>
    <w:rPr>
      <w:rFonts w:ascii="宋体" w:hAnsi="宋体" w:eastAsia="宋体" w:cs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1072</Words>
  <Characters>1105</Characters>
  <Lines>8</Lines>
  <Paragraphs>2</Paragraphs>
  <TotalTime>34</TotalTime>
  <ScaleCrop>false</ScaleCrop>
  <LinksUpToDate>false</LinksUpToDate>
  <CharactersWithSpaces>1106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2024-10-24T16:01:00Z</dcterms:created>
  <dc:creator>Lenovo</dc:creator>
  <cp:lastModifiedBy>ROAD</cp:lastModifiedBy>
  <cp:lastPrinted>2024-11-01T04:29:00Z</cp:lastPrinted>
  <dcterms:modified xsi:type="dcterms:W3CDTF">2025-11-03T09:39:27Z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2024-04-11T00:00:00Z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2024-10-23T00:00:00Z</vt:filetime>
  </property>
  <property fmtid="{D5CDD505-2E9C-101B-9397-08002B2CF9AE}" pid="5" name="SourceModified">
    <vt:lpwstr>D:20240411143323+06'33'</vt:lpwstr>
  </property>
  <property fmtid="{D5CDD505-2E9C-101B-9397-08002B2CF9AE}" pid="6" name="KSOProductBuildVer">
    <vt:lpwstr>2052-12.1.0.18912</vt:lpwstr>
  </property>
  <property fmtid="{D5CDD505-2E9C-101B-9397-08002B2CF9AE}" pid="7" name="ICV">
    <vt:lpwstr>506E438470C54B968CB9DFFEC4AB7A33_13</vt:lpwstr>
  </property>
</Properties>
</file>