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286D1F">
      <w:pPr>
        <w:autoSpaceDE/>
        <w:autoSpaceDN/>
        <w:spacing w:line="560" w:lineRule="exact"/>
        <w:jc w:val="center"/>
        <w:rPr>
          <w:rFonts w:ascii="方正小标宋_GBK" w:hAnsi="方正小标宋_GBK" w:eastAsia="方正小标宋_GBK" w:cs="方正小标宋_GBK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青岛政策通平台信创适配迁移项目</w:t>
      </w:r>
    </w:p>
    <w:p w14:paraId="53043D76">
      <w:pPr>
        <w:autoSpaceDE/>
        <w:autoSpaceDN/>
        <w:spacing w:line="560" w:lineRule="exact"/>
        <w:jc w:val="center"/>
        <w:rPr>
          <w:rFonts w:ascii="方正小标宋_GBK" w:hAnsi="Calibri" w:eastAsia="方正小标宋_GBK" w:cs="Times New Roman"/>
          <w:bCs/>
          <w:kern w:val="2"/>
          <w:sz w:val="44"/>
          <w:szCs w:val="44"/>
        </w:rPr>
      </w:pPr>
      <w:r>
        <w:rPr>
          <w:rFonts w:hint="eastAsia" w:ascii="方正小标宋_GBK" w:hAnsi="Calibri" w:eastAsia="方正小标宋_GBK" w:cs="Times New Roman"/>
          <w:bCs/>
          <w:kern w:val="2"/>
          <w:sz w:val="44"/>
          <w:szCs w:val="44"/>
        </w:rPr>
        <w:t>采购评分标准</w:t>
      </w:r>
    </w:p>
    <w:p w14:paraId="05BF97BA">
      <w:pPr>
        <w:spacing w:before="36"/>
        <w:ind w:left="1092"/>
        <w:rPr>
          <w:sz w:val="24"/>
        </w:rPr>
      </w:pPr>
    </w:p>
    <w:tbl>
      <w:tblPr>
        <w:tblStyle w:val="7"/>
        <w:tblW w:w="10502" w:type="dxa"/>
        <w:tblInd w:w="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7"/>
        <w:gridCol w:w="1455"/>
        <w:gridCol w:w="1470"/>
        <w:gridCol w:w="5924"/>
        <w:gridCol w:w="856"/>
      </w:tblGrid>
      <w:tr w14:paraId="26BA9B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797" w:type="dxa"/>
            <w:vAlign w:val="center"/>
          </w:tcPr>
          <w:p w14:paraId="574BE41D">
            <w:pPr>
              <w:pStyle w:val="11"/>
              <w:spacing w:line="307" w:lineRule="auto"/>
              <w:ind w:right="144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序号</w:t>
            </w:r>
          </w:p>
        </w:tc>
        <w:tc>
          <w:tcPr>
            <w:tcW w:w="1455" w:type="dxa"/>
            <w:vAlign w:val="center"/>
          </w:tcPr>
          <w:p w14:paraId="51D012ED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评审内容</w:t>
            </w:r>
          </w:p>
        </w:tc>
        <w:tc>
          <w:tcPr>
            <w:tcW w:w="1470" w:type="dxa"/>
            <w:vAlign w:val="center"/>
          </w:tcPr>
          <w:p w14:paraId="308B821B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具体指标</w:t>
            </w:r>
          </w:p>
        </w:tc>
        <w:tc>
          <w:tcPr>
            <w:tcW w:w="5924" w:type="dxa"/>
            <w:vAlign w:val="center"/>
          </w:tcPr>
          <w:p w14:paraId="7EFFC3BD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评分参考标准</w:t>
            </w:r>
          </w:p>
        </w:tc>
        <w:tc>
          <w:tcPr>
            <w:tcW w:w="856" w:type="dxa"/>
            <w:vAlign w:val="center"/>
          </w:tcPr>
          <w:p w14:paraId="177CC12D">
            <w:pPr>
              <w:pStyle w:val="11"/>
              <w:spacing w:line="307" w:lineRule="auto"/>
              <w:ind w:right="144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分值</w:t>
            </w:r>
          </w:p>
        </w:tc>
      </w:tr>
      <w:tr w14:paraId="755777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797" w:type="dxa"/>
            <w:vMerge w:val="restart"/>
            <w:vAlign w:val="center"/>
          </w:tcPr>
          <w:p w14:paraId="24608AE0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  <w:r>
              <w:rPr>
                <w:rFonts w:hint="eastAsia" w:ascii="仿宋"/>
                <w:spacing w:val="-10"/>
                <w:sz w:val="24"/>
              </w:rPr>
              <w:t>1</w:t>
            </w:r>
          </w:p>
        </w:tc>
        <w:tc>
          <w:tcPr>
            <w:tcW w:w="1455" w:type="dxa"/>
            <w:vMerge w:val="restart"/>
            <w:vAlign w:val="center"/>
          </w:tcPr>
          <w:p w14:paraId="34A499F7">
            <w:pPr>
              <w:pStyle w:val="11"/>
              <w:spacing w:line="307" w:lineRule="auto"/>
              <w:ind w:left="395" w:right="144" w:hanging="240"/>
              <w:jc w:val="center"/>
              <w:rPr>
                <w:rFonts w:ascii="黑体" w:eastAsia="黑体"/>
                <w:spacing w:val="-4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sz w:val="28"/>
                <w:szCs w:val="28"/>
              </w:rPr>
              <w:t>商务部分</w:t>
            </w:r>
          </w:p>
        </w:tc>
        <w:tc>
          <w:tcPr>
            <w:tcW w:w="1470" w:type="dxa"/>
            <w:vAlign w:val="center"/>
          </w:tcPr>
          <w:p w14:paraId="1E03FA58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报价得分</w:t>
            </w:r>
          </w:p>
        </w:tc>
        <w:tc>
          <w:tcPr>
            <w:tcW w:w="5924" w:type="dxa"/>
          </w:tcPr>
          <w:p w14:paraId="6CDB9B51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以满足招标文件要求且投标报价最低的投标价格为评标基准价，其价格分为满分。其他投标人的价格分统一按照下列公式计算:投标报价得分=（评标基准价/投标报价）×10</w:t>
            </w:r>
          </w:p>
          <w:p w14:paraId="570B610E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供应商报价高于项目预算无效。</w:t>
            </w:r>
          </w:p>
        </w:tc>
        <w:tc>
          <w:tcPr>
            <w:tcW w:w="856" w:type="dxa"/>
            <w:vAlign w:val="center"/>
          </w:tcPr>
          <w:p w14:paraId="2D0C02F2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10分</w:t>
            </w:r>
          </w:p>
        </w:tc>
      </w:tr>
      <w:tr w14:paraId="1D1D5C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8" w:hRule="atLeast"/>
        </w:trPr>
        <w:tc>
          <w:tcPr>
            <w:tcW w:w="797" w:type="dxa"/>
            <w:vMerge w:val="continue"/>
            <w:vAlign w:val="center"/>
          </w:tcPr>
          <w:p w14:paraId="71653F35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  <w:vAlign w:val="center"/>
          </w:tcPr>
          <w:p w14:paraId="46029380">
            <w:pPr>
              <w:pStyle w:val="11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snapToGrid w:val="0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 w14:paraId="14E9C385">
            <w:pPr>
              <w:widowControl/>
              <w:adjustRightInd w:val="0"/>
              <w:spacing w:line="36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同类业绩</w:t>
            </w:r>
          </w:p>
        </w:tc>
        <w:tc>
          <w:tcPr>
            <w:tcW w:w="5924" w:type="dxa"/>
          </w:tcPr>
          <w:p w14:paraId="3B71D3D7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自2022年1月1日至今成功实施的同类信息化项目，每提供一个项目合同得3分，满分15分。</w:t>
            </w:r>
          </w:p>
          <w:p w14:paraId="697EC295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供应商须提供同类项目合同原件（或复印件加盖公章），未提供不得分。业绩时间以同类项目合同中标注的时间为准。</w:t>
            </w:r>
          </w:p>
        </w:tc>
        <w:tc>
          <w:tcPr>
            <w:tcW w:w="856" w:type="dxa"/>
            <w:vAlign w:val="center"/>
          </w:tcPr>
          <w:p w14:paraId="010C4A18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15分</w:t>
            </w:r>
          </w:p>
        </w:tc>
      </w:tr>
      <w:tr w14:paraId="749EF4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6" w:hRule="atLeast"/>
        </w:trPr>
        <w:tc>
          <w:tcPr>
            <w:tcW w:w="797" w:type="dxa"/>
            <w:vMerge w:val="continue"/>
          </w:tcPr>
          <w:p w14:paraId="0FC38967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  <w:vAlign w:val="center"/>
          </w:tcPr>
          <w:p w14:paraId="79955A7C">
            <w:pPr>
              <w:pStyle w:val="11"/>
              <w:spacing w:line="307" w:lineRule="auto"/>
              <w:ind w:left="395" w:right="144" w:hanging="240"/>
              <w:jc w:val="center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4AFF2A0A">
            <w:pPr>
              <w:widowControl/>
              <w:adjustRightInd w:val="0"/>
              <w:spacing w:line="36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企业认证</w:t>
            </w:r>
          </w:p>
          <w:p w14:paraId="501FD8D6">
            <w:pPr>
              <w:widowControl/>
              <w:adjustRightInd w:val="0"/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及荣誉</w:t>
            </w:r>
          </w:p>
        </w:tc>
        <w:tc>
          <w:tcPr>
            <w:tcW w:w="5924" w:type="dxa"/>
          </w:tcPr>
          <w:p w14:paraId="571831DB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hint="eastAsia"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供应商通过有效期内的IS</w:t>
            </w:r>
            <w:r>
              <w:rPr>
                <w:rStyle w:val="12"/>
                <w:rFonts w:hint="eastAsia" w:eastAsia="仿宋" w:cs="仿宋"/>
                <w:sz w:val="24"/>
                <w:szCs w:val="24"/>
                <w:lang w:val="en-US" w:eastAsia="zh-CN"/>
              </w:rPr>
              <w:t>O</w:t>
            </w:r>
            <w:r>
              <w:rPr>
                <w:rStyle w:val="12"/>
                <w:rFonts w:hint="eastAsia" w:cs="仿宋"/>
                <w:sz w:val="24"/>
                <w:szCs w:val="24"/>
              </w:rPr>
              <w:t>27001信息安全管理体系认证得1分。</w:t>
            </w:r>
          </w:p>
          <w:p w14:paraId="1A6EDC56">
            <w:pPr>
              <w:widowControl/>
              <w:adjustRightInd w:val="0"/>
              <w:spacing w:line="400" w:lineRule="exact"/>
              <w:ind w:firstLine="480" w:firstLineChars="200"/>
              <w:rPr>
                <w:rStyle w:val="12"/>
                <w:rFonts w:hint="eastAsia" w:cs="仿宋"/>
                <w:sz w:val="24"/>
                <w:szCs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供应商通过有效期内的IS</w:t>
            </w:r>
            <w:bookmarkStart w:id="0" w:name="_GoBack"/>
            <w:bookmarkEnd w:id="0"/>
            <w:r>
              <w:rPr>
                <w:rStyle w:val="12"/>
                <w:rFonts w:hint="eastAsia" w:eastAsia="仿宋" w:cs="仿宋"/>
                <w:sz w:val="24"/>
                <w:szCs w:val="24"/>
                <w:lang w:val="en-US" w:eastAsia="zh-CN"/>
              </w:rPr>
              <w:t>O</w:t>
            </w:r>
            <w:r>
              <w:rPr>
                <w:rStyle w:val="12"/>
                <w:rFonts w:hint="eastAsia" w:cs="仿宋"/>
                <w:sz w:val="24"/>
                <w:szCs w:val="24"/>
              </w:rPr>
              <w:t>20000信息技术服务管理体系认证得1分。</w:t>
            </w:r>
          </w:p>
          <w:p w14:paraId="6DF9A5AF">
            <w:pPr>
              <w:widowControl/>
              <w:adjustRightInd w:val="0"/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供应商须提供证书原件（或复印件加盖公章），否则不得分。</w:t>
            </w:r>
          </w:p>
        </w:tc>
        <w:tc>
          <w:tcPr>
            <w:tcW w:w="856" w:type="dxa"/>
            <w:vAlign w:val="center"/>
          </w:tcPr>
          <w:p w14:paraId="7D3038B1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2分</w:t>
            </w:r>
          </w:p>
        </w:tc>
      </w:tr>
      <w:tr w14:paraId="7545EA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4" w:hRule="atLeast"/>
        </w:trPr>
        <w:tc>
          <w:tcPr>
            <w:tcW w:w="797" w:type="dxa"/>
            <w:vMerge w:val="restart"/>
            <w:vAlign w:val="center"/>
          </w:tcPr>
          <w:p w14:paraId="2500DA1A">
            <w:pPr>
              <w:pStyle w:val="11"/>
              <w:ind w:left="6"/>
              <w:jc w:val="center"/>
              <w:rPr>
                <w:rFonts w:ascii="仿宋"/>
                <w:sz w:val="24"/>
              </w:rPr>
            </w:pPr>
            <w:r>
              <w:rPr>
                <w:rFonts w:ascii="仿宋"/>
                <w:spacing w:val="-10"/>
                <w:sz w:val="24"/>
              </w:rPr>
              <w:t>2</w:t>
            </w:r>
          </w:p>
        </w:tc>
        <w:tc>
          <w:tcPr>
            <w:tcW w:w="1455" w:type="dxa"/>
            <w:vMerge w:val="restart"/>
            <w:vAlign w:val="center"/>
          </w:tcPr>
          <w:p w14:paraId="7A70BB58">
            <w:pPr>
              <w:pStyle w:val="11"/>
              <w:spacing w:line="307" w:lineRule="auto"/>
              <w:ind w:left="395" w:right="144" w:hanging="240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sz w:val="28"/>
                <w:szCs w:val="28"/>
              </w:rPr>
              <w:t>技术部分</w:t>
            </w:r>
          </w:p>
        </w:tc>
        <w:tc>
          <w:tcPr>
            <w:tcW w:w="1470" w:type="dxa"/>
            <w:vAlign w:val="center"/>
          </w:tcPr>
          <w:p w14:paraId="7B24DADE">
            <w:pPr>
              <w:pStyle w:val="11"/>
              <w:spacing w:line="307" w:lineRule="auto"/>
              <w:ind w:right="144"/>
              <w:jc w:val="center"/>
              <w:rPr>
                <w:sz w:val="24"/>
              </w:rPr>
            </w:pPr>
            <w:r>
              <w:rPr>
                <w:rFonts w:hint="eastAsia" w:ascii="仿宋" w:eastAsia="仿宋" w:cs="仿宋"/>
                <w:sz w:val="24"/>
                <w:lang w:val="zh-CN"/>
              </w:rPr>
              <w:t>响应情况</w:t>
            </w:r>
          </w:p>
        </w:tc>
        <w:tc>
          <w:tcPr>
            <w:tcW w:w="5924" w:type="dxa"/>
          </w:tcPr>
          <w:p w14:paraId="0D8EC846">
            <w:pPr>
              <w:adjustRightInd w:val="0"/>
              <w:spacing w:line="360" w:lineRule="auto"/>
              <w:ind w:firstLine="480" w:firstLineChars="200"/>
              <w:rPr>
                <w:rFonts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基础分为</w:t>
            </w:r>
            <w:r>
              <w:rPr>
                <w:rFonts w:hint="eastAsia" w:asci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25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5D7E86C8">
            <w:pPr>
              <w:widowControl/>
              <w:adjustRightInd w:val="0"/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每出现</w:t>
            </w:r>
            <w:r>
              <w:rPr>
                <w:rFonts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条负偏离，扣除基础分</w:t>
            </w:r>
            <w:r>
              <w:rPr>
                <w:rFonts w:asci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分，出现</w:t>
            </w:r>
            <w:r>
              <w:rPr>
                <w:rFonts w:hint="eastAsia" w:asci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" w:eastAsia="仿宋" w:cs="仿宋"/>
                <w:color w:val="000000" w:themeColor="text1"/>
                <w:sz w:val="24"/>
                <w:lang w:val="zh-CN"/>
                <w14:textFill>
                  <w14:solidFill>
                    <w14:schemeClr w14:val="tx1"/>
                  </w14:solidFill>
                </w14:textFill>
              </w:rPr>
              <w:t>条及以上负偏离的，响应情况项不得分。</w:t>
            </w:r>
          </w:p>
        </w:tc>
        <w:tc>
          <w:tcPr>
            <w:tcW w:w="856" w:type="dxa"/>
            <w:vAlign w:val="center"/>
          </w:tcPr>
          <w:p w14:paraId="4B0B91A6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25分</w:t>
            </w:r>
          </w:p>
        </w:tc>
      </w:tr>
      <w:tr w14:paraId="3B5CCC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</w:trPr>
        <w:tc>
          <w:tcPr>
            <w:tcW w:w="797" w:type="dxa"/>
            <w:vMerge w:val="continue"/>
          </w:tcPr>
          <w:p w14:paraId="776EBE65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</w:tcPr>
          <w:p w14:paraId="6523EA15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124163BA">
            <w:pPr>
              <w:pStyle w:val="11"/>
              <w:spacing w:line="400" w:lineRule="atLeast"/>
              <w:ind w:left="107" w:right="97"/>
              <w:jc w:val="center"/>
              <w:rPr>
                <w:rFonts w:eastAsia="仿宋"/>
                <w:sz w:val="24"/>
                <w:lang w:val="zh-CN"/>
              </w:rPr>
            </w:pPr>
            <w:r>
              <w:rPr>
                <w:rFonts w:hint="eastAsia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对服务需求的理解</w:t>
            </w:r>
          </w:p>
        </w:tc>
        <w:tc>
          <w:tcPr>
            <w:tcW w:w="5924" w:type="dxa"/>
          </w:tcPr>
          <w:p w14:paraId="7152BB7A">
            <w:pPr>
              <w:pStyle w:val="11"/>
              <w:spacing w:before="89" w:line="308" w:lineRule="auto"/>
              <w:ind w:left="108" w:right="130" w:firstLine="480" w:firstLineChars="200"/>
              <w:rPr>
                <w:rStyle w:val="12"/>
                <w:rFonts w:cs="仿宋"/>
                <w:sz w:val="24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供应商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结合自身对项目的认知及本项目招标需求，对项目建设背景、建设现状、建设目标、建设需求等内容进行分析。理解全面、深刻、有针对性，得10分；</w:t>
            </w:r>
            <w:r>
              <w:rPr>
                <w:rFonts w:hint="eastAsia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对服务需求的理解</w:t>
            </w:r>
            <w:r>
              <w:rPr>
                <w:rFonts w:hint="eastAsia" w:ascii="仿宋" w:hAnsi="仿宋" w:eastAsia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有瑕疵，得7分；理解分析有严重缺陷，得4分；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未提供者不得分。</w:t>
            </w:r>
          </w:p>
        </w:tc>
        <w:tc>
          <w:tcPr>
            <w:tcW w:w="856" w:type="dxa"/>
            <w:vAlign w:val="center"/>
          </w:tcPr>
          <w:p w14:paraId="55D7C525">
            <w:pPr>
              <w:pStyle w:val="11"/>
              <w:ind w:left="6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10分</w:t>
            </w:r>
          </w:p>
        </w:tc>
      </w:tr>
      <w:tr w14:paraId="637AB3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4" w:hRule="atLeast"/>
        </w:trPr>
        <w:tc>
          <w:tcPr>
            <w:tcW w:w="797" w:type="dxa"/>
            <w:vMerge w:val="continue"/>
          </w:tcPr>
          <w:p w14:paraId="5028BB1C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</w:tcPr>
          <w:p w14:paraId="2CFF78C6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702CD906">
            <w:pPr>
              <w:pStyle w:val="11"/>
              <w:spacing w:line="400" w:lineRule="atLeast"/>
              <w:ind w:left="107" w:right="97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eastAsia="仿宋"/>
                <w:sz w:val="24"/>
                <w:lang w:val="zh-CN"/>
              </w:rPr>
              <w:t>服务方案</w:t>
            </w:r>
          </w:p>
        </w:tc>
        <w:tc>
          <w:tcPr>
            <w:tcW w:w="5924" w:type="dxa"/>
          </w:tcPr>
          <w:p w14:paraId="2F8C9C14">
            <w:pPr>
              <w:pStyle w:val="11"/>
              <w:spacing w:before="89" w:line="308" w:lineRule="auto"/>
              <w:ind w:left="108" w:right="130"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对项目建设内容深刻理解，服务整体实施方案明确、实施流程方案细致、时间安排合理、计划周全、有详细的可行性服务方案得</w:t>
            </w:r>
            <w:r>
              <w:rPr>
                <w:rStyle w:val="12"/>
                <w:rFonts w:hint="eastAsia" w:cs="仿宋"/>
                <w:sz w:val="24"/>
                <w:szCs w:val="24"/>
              </w:rPr>
              <w:t>20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分；对项目建设内容理解，服务整体实施方案较为明确、工作流程方案较为细致、时间安排较为合理、工作计划较为周全、有较为详细的可行性服务方案得</w:t>
            </w:r>
            <w:r>
              <w:rPr>
                <w:rStyle w:val="12"/>
                <w:rFonts w:hint="eastAsia" w:cs="仿宋"/>
                <w:sz w:val="24"/>
                <w:szCs w:val="24"/>
              </w:rPr>
              <w:t>15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分；提供项目方案有严重缺漏得10分；提供项目方案不可行得5分；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未提供者不得分。</w:t>
            </w:r>
          </w:p>
        </w:tc>
        <w:tc>
          <w:tcPr>
            <w:tcW w:w="856" w:type="dxa"/>
            <w:vAlign w:val="center"/>
          </w:tcPr>
          <w:p w14:paraId="1CA5626E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</w:t>
            </w:r>
            <w:r>
              <w:rPr>
                <w:rFonts w:hint="eastAsia" w:ascii="仿宋" w:hAnsi="仿宋" w:eastAsia="仿宋" w:cs="仿宋"/>
                <w:sz w:val="24"/>
                <w:lang w:val="zh-CN"/>
              </w:rPr>
              <w:t>分</w:t>
            </w:r>
          </w:p>
        </w:tc>
      </w:tr>
      <w:tr w14:paraId="5C92BE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6" w:hRule="atLeast"/>
        </w:trPr>
        <w:tc>
          <w:tcPr>
            <w:tcW w:w="797" w:type="dxa"/>
            <w:vMerge w:val="continue"/>
          </w:tcPr>
          <w:p w14:paraId="4D2444D9">
            <w:pPr>
              <w:pStyle w:val="11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455" w:type="dxa"/>
            <w:vMerge w:val="continue"/>
          </w:tcPr>
          <w:p w14:paraId="509DF70E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470" w:type="dxa"/>
            <w:vAlign w:val="center"/>
          </w:tcPr>
          <w:p w14:paraId="755320FE">
            <w:pPr>
              <w:spacing w:line="36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团队配备</w:t>
            </w:r>
          </w:p>
          <w:p w14:paraId="473C9CA0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合理性</w:t>
            </w:r>
          </w:p>
        </w:tc>
        <w:tc>
          <w:tcPr>
            <w:tcW w:w="5924" w:type="dxa"/>
          </w:tcPr>
          <w:p w14:paraId="509AE962">
            <w:pPr>
              <w:pStyle w:val="11"/>
              <w:spacing w:before="89" w:line="308" w:lineRule="auto"/>
              <w:ind w:left="108" w:right="130"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Style w:val="12"/>
                <w:rFonts w:hint="eastAsia" w:cs="仿宋"/>
                <w:sz w:val="24"/>
                <w:szCs w:val="24"/>
              </w:rPr>
              <w:t>对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供应商拟投入本项目开发人员的专业能力、结构，项目</w:t>
            </w:r>
            <w:r>
              <w:rPr>
                <w:rStyle w:val="12"/>
                <w:rFonts w:hint="eastAsia" w:cs="仿宋"/>
                <w:sz w:val="24"/>
                <w:szCs w:val="24"/>
              </w:rPr>
              <w:t>团队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成员包含项目总负责人、软件开发等岗位人员进行评价，岗位分工明确，人员结构好、</w:t>
            </w:r>
            <w:r>
              <w:rPr>
                <w:rStyle w:val="12"/>
                <w:rFonts w:hint="eastAsia" w:cs="仿宋"/>
                <w:sz w:val="24"/>
                <w:szCs w:val="24"/>
              </w:rPr>
              <w:t>项目实施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能力强、经验丰富的，得10分；岗位分工比较合理，人员结构基本满足要求、</w:t>
            </w:r>
            <w:r>
              <w:rPr>
                <w:rStyle w:val="12"/>
                <w:rFonts w:hint="eastAsia" w:cs="仿宋"/>
                <w:sz w:val="24"/>
                <w:szCs w:val="24"/>
              </w:rPr>
              <w:t>项目实施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能力普通、经验一般的，得7分；岗位分工一般，人员结构差、软件开发能力差、没有经验的，得</w:t>
            </w:r>
            <w:r>
              <w:rPr>
                <w:rStyle w:val="12"/>
                <w:rFonts w:hint="eastAsia" w:cs="仿宋"/>
                <w:sz w:val="24"/>
                <w:szCs w:val="24"/>
              </w:rPr>
              <w:t>4</w:t>
            </w:r>
            <w:r>
              <w:rPr>
                <w:rStyle w:val="12"/>
                <w:rFonts w:hint="eastAsia" w:cs="仿宋"/>
                <w:sz w:val="24"/>
                <w:szCs w:val="24"/>
                <w:lang w:val="zh-CN"/>
              </w:rPr>
              <w:t>分；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未提供者不得分。</w:t>
            </w:r>
          </w:p>
        </w:tc>
        <w:tc>
          <w:tcPr>
            <w:tcW w:w="856" w:type="dxa"/>
            <w:vAlign w:val="center"/>
          </w:tcPr>
          <w:p w14:paraId="4C69CE85">
            <w:pPr>
              <w:pStyle w:val="11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10分</w:t>
            </w:r>
          </w:p>
        </w:tc>
      </w:tr>
      <w:tr w14:paraId="5C24F1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6" w:hRule="atLeast"/>
        </w:trPr>
        <w:tc>
          <w:tcPr>
            <w:tcW w:w="797" w:type="dxa"/>
            <w:vMerge w:val="continue"/>
            <w:tcBorders>
              <w:bottom w:val="single" w:color="auto" w:sz="4" w:space="0"/>
            </w:tcBorders>
          </w:tcPr>
          <w:p w14:paraId="245DC72A">
            <w:pPr>
              <w:pStyle w:val="11"/>
              <w:ind w:left="6"/>
              <w:jc w:val="center"/>
              <w:rPr>
                <w:rFonts w:ascii="仿宋"/>
                <w:sz w:val="24"/>
              </w:rPr>
            </w:pPr>
          </w:p>
        </w:tc>
        <w:tc>
          <w:tcPr>
            <w:tcW w:w="1455" w:type="dxa"/>
            <w:vMerge w:val="continue"/>
            <w:tcBorders>
              <w:bottom w:val="single" w:color="auto" w:sz="4" w:space="0"/>
            </w:tcBorders>
          </w:tcPr>
          <w:p w14:paraId="4EFEA26E">
            <w:pPr>
              <w:pStyle w:val="11"/>
              <w:spacing w:line="307" w:lineRule="auto"/>
              <w:ind w:left="395" w:right="144" w:hanging="240"/>
              <w:rPr>
                <w:rFonts w:ascii="黑体" w:eastAsia="黑体"/>
                <w:sz w:val="24"/>
              </w:rPr>
            </w:pPr>
          </w:p>
        </w:tc>
        <w:tc>
          <w:tcPr>
            <w:tcW w:w="1470" w:type="dxa"/>
            <w:tcBorders>
              <w:bottom w:val="single" w:color="auto" w:sz="4" w:space="0"/>
            </w:tcBorders>
            <w:vAlign w:val="center"/>
          </w:tcPr>
          <w:p w14:paraId="6608C8A4">
            <w:pPr>
              <w:pStyle w:val="11"/>
              <w:spacing w:line="400" w:lineRule="atLeast"/>
              <w:ind w:left="107" w:right="97"/>
              <w:jc w:val="center"/>
              <w:rPr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人员资质要求</w:t>
            </w:r>
          </w:p>
        </w:tc>
        <w:tc>
          <w:tcPr>
            <w:tcW w:w="5924" w:type="dxa"/>
            <w:tcBorders>
              <w:bottom w:val="single" w:color="auto" w:sz="4" w:space="0"/>
            </w:tcBorders>
          </w:tcPr>
          <w:p w14:paraId="3C2888E2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拟投入本项目的项目负责人具有信息系统项目管理师资格证书的得5分，【提供证书及其社保证明（网上打印或社保机构出具的证明）原件或复印件加盖供应商公章】； </w:t>
            </w:r>
          </w:p>
          <w:p w14:paraId="72CF7925">
            <w:pPr>
              <w:spacing w:line="360" w:lineRule="auto"/>
              <w:ind w:firstLine="480" w:firstLineChars="200"/>
              <w:rPr>
                <w:rFonts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拟投入本项目的项目组人员（项目负责人除外）具有系统分析师资格的得1分、具有软件设计师资格的得1分、具有系统集成项目管理工程师资格的得1分。【</w:t>
            </w:r>
            <w:r>
              <w:rPr>
                <w:rFonts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1.团队同一人员具备多个证书的，仅计算一次。2.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提供证书及其社保证明（网上打印或社保机构出具的证明）原件或复印件加盖供应商公章】。</w:t>
            </w:r>
          </w:p>
          <w:p w14:paraId="05C1E33A">
            <w:pPr>
              <w:widowControl/>
              <w:adjustRightInd w:val="0"/>
              <w:spacing w:line="360" w:lineRule="auto"/>
              <w:ind w:firstLine="480" w:firstLineChars="200"/>
              <w:rPr>
                <w:rStyle w:val="12"/>
                <w:rFonts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本项满分8分，未提供者不得分。</w:t>
            </w:r>
          </w:p>
        </w:tc>
        <w:tc>
          <w:tcPr>
            <w:tcW w:w="856" w:type="dxa"/>
            <w:tcBorders>
              <w:bottom w:val="single" w:color="auto" w:sz="4" w:space="0"/>
            </w:tcBorders>
            <w:vAlign w:val="center"/>
          </w:tcPr>
          <w:p w14:paraId="4DD217CD">
            <w:pPr>
              <w:pStyle w:val="11"/>
              <w:ind w:left="6"/>
              <w:jc w:val="center"/>
              <w:rPr>
                <w:rFonts w:ascii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8分</w:t>
            </w:r>
          </w:p>
        </w:tc>
      </w:tr>
      <w:tr w14:paraId="0A65D9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96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8EE91">
            <w:pPr>
              <w:pStyle w:val="11"/>
              <w:jc w:val="center"/>
              <w:rPr>
                <w:rFonts w:ascii="Times New Roman"/>
                <w:sz w:val="24"/>
              </w:rPr>
            </w:pPr>
            <w:r>
              <w:rPr>
                <w:rFonts w:ascii="仿宋" w:eastAsia="仿宋"/>
                <w:spacing w:val="-10"/>
                <w:sz w:val="24"/>
              </w:rPr>
              <w:t>总</w:t>
            </w:r>
            <w:r>
              <w:rPr>
                <w:rFonts w:hint="eastAsia" w:ascii="仿宋" w:eastAsia="仿宋"/>
                <w:spacing w:val="-10"/>
                <w:sz w:val="24"/>
              </w:rPr>
              <w:t>分</w:t>
            </w:r>
          </w:p>
        </w:tc>
        <w:tc>
          <w:tcPr>
            <w:tcW w:w="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21397C">
            <w:pPr>
              <w:pStyle w:val="11"/>
              <w:spacing w:before="76" w:line="304" w:lineRule="exact"/>
              <w:ind w:left="6"/>
              <w:jc w:val="center"/>
              <w:rPr>
                <w:rFonts w:ascii="仿宋"/>
                <w:sz w:val="24"/>
              </w:rPr>
            </w:pPr>
          </w:p>
        </w:tc>
      </w:tr>
    </w:tbl>
    <w:p w14:paraId="7D1BBE6E"/>
    <w:sectPr>
      <w:footerReference r:id="rId3" w:type="default"/>
      <w:footerReference r:id="rId4" w:type="even"/>
      <w:pgSz w:w="11910" w:h="16840"/>
      <w:pgMar w:top="1920" w:right="708" w:bottom="1160" w:left="708" w:header="0" w:footer="97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PMingLiU">
    <w:altName w:val="Microsoft JhengHei UI"/>
    <w:panose1 w:val="02010601000101010101"/>
    <w:charset w:val="88"/>
    <w:family w:val="auto"/>
    <w:pitch w:val="default"/>
    <w:sig w:usb0="00000000" w:usb1="00000000" w:usb2="00000010" w:usb3="00000000" w:csb0="00100000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7CEA50">
    <w:pPr>
      <w:pStyle w:val="3"/>
      <w:spacing w:line="14" w:lineRule="auto"/>
      <w:ind w:left="0"/>
      <w:rPr>
        <w:sz w:val="20"/>
        <w:u w:val="none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6289040</wp:posOffset>
              </wp:positionH>
              <wp:positionV relativeFrom="page">
                <wp:posOffset>9935210</wp:posOffset>
              </wp:positionV>
              <wp:extent cx="178435" cy="203835"/>
              <wp:effectExtent l="0" t="0" r="0" b="0"/>
              <wp:wrapNone/>
              <wp:docPr id="5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843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DCCEECB">
                          <w:pPr>
                            <w:spacing w:line="321" w:lineRule="exact"/>
                            <w:ind w:left="60"/>
                            <w:rPr>
                              <w:sz w:val="28"/>
                            </w:rPr>
                          </w:pPr>
                          <w:r>
                            <w:rPr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8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1" o:spid="_x0000_s1026" o:spt="202" type="#_x0000_t202" style="position:absolute;left:0pt;margin-left:495.2pt;margin-top:782.3pt;height:16.05pt;width:14.05pt;mso-position-horizontal-relative:page;mso-position-vertical-relative:page;z-index:-251657216;mso-width-relative:page;mso-height-relative:page;" filled="f" stroked="f" coordsize="21600,21600" o:gfxdata="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GYS9ytsAAAAOAQAADwAAAAAAAAABACAAAAAiAAAAZHJzL2Rvd25y&#10;ZXYueG1sUEsBAhQAFAAAAAgAh07iQI67oivCAQAApAMAAA4AAAAAAAAAAQAgAAAAKg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5DCCEECB">
                    <w:pPr>
                      <w:spacing w:line="321" w:lineRule="exact"/>
                      <w:ind w:left="60"/>
                      <w:rPr>
                        <w:sz w:val="28"/>
                      </w:rPr>
                    </w:pPr>
                    <w:r>
                      <w:rPr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spacing w:val="-10"/>
                        <w:sz w:val="2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spacing w:val="-10"/>
                        <w:sz w:val="28"/>
                      </w:rPr>
                      <w:t>1</w:t>
                    </w:r>
                    <w:r>
                      <w:rPr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1374CE">
    <w:pPr>
      <w:pStyle w:val="3"/>
      <w:spacing w:line="14" w:lineRule="auto"/>
      <w:ind w:left="0"/>
      <w:rPr>
        <w:sz w:val="20"/>
        <w:u w:val="none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1104900</wp:posOffset>
              </wp:positionH>
              <wp:positionV relativeFrom="page">
                <wp:posOffset>9935210</wp:posOffset>
              </wp:positionV>
              <wp:extent cx="178435" cy="203835"/>
              <wp:effectExtent l="0" t="0" r="0" b="0"/>
              <wp:wrapNone/>
              <wp:docPr id="6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843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360F360">
                          <w:pPr>
                            <w:spacing w:line="321" w:lineRule="exact"/>
                            <w:ind w:left="60"/>
                            <w:rPr>
                              <w:sz w:val="28"/>
                            </w:rPr>
                          </w:pPr>
                          <w:r>
                            <w:rPr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8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2" o:spid="_x0000_s1026" o:spt="202" type="#_x0000_t202" style="position:absolute;left:0pt;margin-left:87pt;margin-top:782.3pt;height:16.05pt;width:14.05pt;mso-position-horizontal-relative:page;mso-position-vertical-relative:page;z-index:-251656192;mso-width-relative:page;mso-height-relative:page;" filled="f" stroked="f" coordsize="21600,21600" o:gfxdata="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HxelYtoAAAANAQAADwAAAAAAAAABACAAAAAiAAAAZHJzL2Rvd25y&#10;ZXYueG1sUEsBAhQAFAAAAAgAh07iQOw7ApnDAQAApAMAAA4AAAAAAAAAAQAgAAAAKQ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360F360">
                    <w:pPr>
                      <w:spacing w:line="321" w:lineRule="exact"/>
                      <w:ind w:left="60"/>
                      <w:rPr>
                        <w:sz w:val="28"/>
                      </w:rPr>
                    </w:pPr>
                    <w:r>
                      <w:rPr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spacing w:val="-10"/>
                        <w:sz w:val="2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8"/>
                      </w:rPr>
                      <w:fldChar w:fldCharType="separate"/>
                    </w:r>
                    <w:r>
                      <w:rPr>
                        <w:spacing w:val="-10"/>
                        <w:sz w:val="28"/>
                      </w:rPr>
                      <w:t>2</w:t>
                    </w:r>
                    <w:r>
                      <w:rPr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trackRevisions w:val="1"/>
  <w:documentProtection w:enforcement="0"/>
  <w:defaultTabStop w:val="720"/>
  <w:evenAndOddHeaders w:val="1"/>
  <w:drawingGridHorizontalSpacing w:val="110"/>
  <w:displayHorizontalDrawingGridEvery w:val="2"/>
  <w:characterSpacingControl w:val="doNotCompress"/>
  <w:hdrShapeDefaults>
    <o:shapelayout v:ext="edit">
      <o:idmap v:ext="edit" data="1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wOTQ0NWU3NzZlODBkNDFhMWE1YWFhZTA2ZWFiNjgifQ=="/>
  </w:docVars>
  <w:rsids>
    <w:rsidRoot w:val="00153184"/>
    <w:rsid w:val="00153184"/>
    <w:rsid w:val="005F6E85"/>
    <w:rsid w:val="00C06A95"/>
    <w:rsid w:val="015038FB"/>
    <w:rsid w:val="021515E5"/>
    <w:rsid w:val="027B6D77"/>
    <w:rsid w:val="02E126E8"/>
    <w:rsid w:val="038B5154"/>
    <w:rsid w:val="03A2514E"/>
    <w:rsid w:val="046C12B8"/>
    <w:rsid w:val="06CD6F61"/>
    <w:rsid w:val="07107CE7"/>
    <w:rsid w:val="07397B77"/>
    <w:rsid w:val="09842C00"/>
    <w:rsid w:val="0A166C17"/>
    <w:rsid w:val="0C1666D9"/>
    <w:rsid w:val="0E8333C1"/>
    <w:rsid w:val="10EF2275"/>
    <w:rsid w:val="11CC783A"/>
    <w:rsid w:val="14972381"/>
    <w:rsid w:val="17A41668"/>
    <w:rsid w:val="19AB7BC8"/>
    <w:rsid w:val="1ACB68E1"/>
    <w:rsid w:val="1B9A62B3"/>
    <w:rsid w:val="1D0460DA"/>
    <w:rsid w:val="1DCE79DE"/>
    <w:rsid w:val="1F5F1CED"/>
    <w:rsid w:val="1FE53488"/>
    <w:rsid w:val="21D7200F"/>
    <w:rsid w:val="22325497"/>
    <w:rsid w:val="229D5007"/>
    <w:rsid w:val="22AE0FC2"/>
    <w:rsid w:val="2358717F"/>
    <w:rsid w:val="242855A6"/>
    <w:rsid w:val="2529185C"/>
    <w:rsid w:val="2776E491"/>
    <w:rsid w:val="27AE55C0"/>
    <w:rsid w:val="28665E9B"/>
    <w:rsid w:val="2A544D4F"/>
    <w:rsid w:val="2B0917CA"/>
    <w:rsid w:val="2F964A23"/>
    <w:rsid w:val="30B53371"/>
    <w:rsid w:val="31D22705"/>
    <w:rsid w:val="32513718"/>
    <w:rsid w:val="3260395B"/>
    <w:rsid w:val="3433BEAC"/>
    <w:rsid w:val="358C39DC"/>
    <w:rsid w:val="35ED3757"/>
    <w:rsid w:val="36E36908"/>
    <w:rsid w:val="3914371A"/>
    <w:rsid w:val="3A573895"/>
    <w:rsid w:val="3D6E5A2C"/>
    <w:rsid w:val="42B07FE6"/>
    <w:rsid w:val="44565FEF"/>
    <w:rsid w:val="44906321"/>
    <w:rsid w:val="458D460F"/>
    <w:rsid w:val="46585F18"/>
    <w:rsid w:val="46BA1434"/>
    <w:rsid w:val="492F0B19"/>
    <w:rsid w:val="49625D9E"/>
    <w:rsid w:val="4B0226A2"/>
    <w:rsid w:val="4CDD5E7C"/>
    <w:rsid w:val="4DB12E65"/>
    <w:rsid w:val="4F31425D"/>
    <w:rsid w:val="511E4CB5"/>
    <w:rsid w:val="516402EA"/>
    <w:rsid w:val="52733715"/>
    <w:rsid w:val="5598565A"/>
    <w:rsid w:val="5879437D"/>
    <w:rsid w:val="5A364E1D"/>
    <w:rsid w:val="5B975AB9"/>
    <w:rsid w:val="5BCD1E2F"/>
    <w:rsid w:val="5CAD0D3F"/>
    <w:rsid w:val="5D437F7D"/>
    <w:rsid w:val="5FEF2630"/>
    <w:rsid w:val="62807784"/>
    <w:rsid w:val="63EA73A4"/>
    <w:rsid w:val="660B1854"/>
    <w:rsid w:val="677A5E8B"/>
    <w:rsid w:val="686B65DA"/>
    <w:rsid w:val="68E048D2"/>
    <w:rsid w:val="6BDF3567"/>
    <w:rsid w:val="6C240F7A"/>
    <w:rsid w:val="6EBC7B8F"/>
    <w:rsid w:val="6F51652A"/>
    <w:rsid w:val="72332802"/>
    <w:rsid w:val="72C50BD4"/>
    <w:rsid w:val="74424693"/>
    <w:rsid w:val="74820F33"/>
    <w:rsid w:val="77690189"/>
    <w:rsid w:val="77ED700C"/>
    <w:rsid w:val="7D99109C"/>
    <w:rsid w:val="7EA83C8C"/>
    <w:rsid w:val="7EEB7DCE"/>
    <w:rsid w:val="7EF243A6"/>
    <w:rsid w:val="7F8B3C2B"/>
    <w:rsid w:val="7FEF029D"/>
    <w:rsid w:val="7FFDAFC8"/>
    <w:rsid w:val="BFABA904"/>
    <w:rsid w:val="FEC90D6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qFormat/>
    <w:uiPriority w:val="1"/>
    <w:pPr>
      <w:spacing w:before="72"/>
      <w:ind w:left="660"/>
      <w:jc w:val="center"/>
      <w:outlineLvl w:val="0"/>
    </w:pPr>
    <w:rPr>
      <w:rFonts w:ascii="PMingLiU" w:hAnsi="PMingLiU" w:eastAsia="PMingLiU" w:cs="PMingLiU"/>
      <w:sz w:val="44"/>
      <w:szCs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1"/>
    <w:pPr>
      <w:ind w:left="1092"/>
    </w:pPr>
    <w:rPr>
      <w:sz w:val="24"/>
      <w:szCs w:val="24"/>
      <w:u w:val="single" w:color="000000"/>
    </w:rPr>
  </w:style>
  <w:style w:type="paragraph" w:styleId="4">
    <w:name w:val="Balloon Text"/>
    <w:basedOn w:val="1"/>
    <w:link w:val="15"/>
    <w:qFormat/>
    <w:uiPriority w:val="0"/>
    <w:rPr>
      <w:sz w:val="18"/>
      <w:szCs w:val="18"/>
    </w:rPr>
  </w:style>
  <w:style w:type="paragraph" w:styleId="5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样式 仿宋"/>
    <w:qFormat/>
    <w:uiPriority w:val="0"/>
    <w:rPr>
      <w:rFonts w:ascii="仿宋" w:hAnsi="仿宋" w:eastAsia="仿宋"/>
      <w:kern w:val="1"/>
    </w:rPr>
  </w:style>
  <w:style w:type="character" w:customStyle="1" w:styleId="13">
    <w:name w:val="页眉 Char"/>
    <w:basedOn w:val="8"/>
    <w:link w:val="6"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14">
    <w:name w:val="页脚 Char"/>
    <w:basedOn w:val="8"/>
    <w:link w:val="5"/>
    <w:qFormat/>
    <w:uiPriority w:val="0"/>
    <w:rPr>
      <w:rFonts w:ascii="宋体" w:hAnsi="宋体" w:eastAsia="宋体" w:cs="宋体"/>
      <w:sz w:val="18"/>
      <w:szCs w:val="18"/>
    </w:rPr>
  </w:style>
  <w:style w:type="character" w:customStyle="1" w:styleId="15">
    <w:name w:val="批注框文本 Char"/>
    <w:basedOn w:val="8"/>
    <w:link w:val="4"/>
    <w:qFormat/>
    <w:uiPriority w:val="0"/>
    <w:rPr>
      <w:rFonts w:ascii="宋体" w:hAnsi="宋体" w:eastAsia="宋体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1072</Words>
  <Characters>1105</Characters>
  <Lines>8</Lines>
  <Paragraphs>2</Paragraphs>
  <TotalTime>9</TotalTime>
  <ScaleCrop>false</ScaleCrop>
  <LinksUpToDate>false</LinksUpToDate>
  <CharactersWithSpaces>1106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2024-10-24T16:01:00Z</dcterms:created>
  <dc:creator>Lenovo</dc:creator>
  <cp:lastModifiedBy>ROAD</cp:lastModifiedBy>
  <cp:lastPrinted>2024-11-01T04:29:00Z</cp:lastPrinted>
  <dcterms:modified xsi:type="dcterms:W3CDTF">2025-11-03T09:37:26Z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2024-04-11T00:00:00Z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2024-10-23T00:00:00Z</vt:filetime>
  </property>
  <property fmtid="{D5CDD505-2E9C-101B-9397-08002B2CF9AE}" pid="5" name="SourceModified">
    <vt:lpwstr>D:20240411143323+06'33'</vt:lpwstr>
  </property>
  <property fmtid="{D5CDD505-2E9C-101B-9397-08002B2CF9AE}" pid="6" name="KSOProductBuildVer">
    <vt:lpwstr>2052-12.1.0.18912</vt:lpwstr>
  </property>
  <property fmtid="{D5CDD505-2E9C-101B-9397-08002B2CF9AE}" pid="7" name="ICV">
    <vt:lpwstr>220B0C865EA742738ACFD29F62FEE32E_13</vt:lpwstr>
  </property>
</Properties>
</file>