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CE399" w14:textId="77777777" w:rsidR="008A36EB" w:rsidRDefault="00E020FA" w:rsidP="00CB6ECB">
      <w:pPr>
        <w:spacing w:afterLines="50" w:after="156" w:line="560" w:lineRule="exact"/>
        <w:jc w:val="center"/>
        <w:outlineLvl w:val="2"/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青岛市中小企业数字化转型制造协同</w:t>
      </w:r>
    </w:p>
    <w:p w14:paraId="32D413B7" w14:textId="77777777" w:rsidR="008A36EB" w:rsidRDefault="00E020FA" w:rsidP="00CB6ECB">
      <w:pPr>
        <w:spacing w:afterLines="50" w:after="156" w:line="560" w:lineRule="exact"/>
        <w:jc w:val="center"/>
        <w:outlineLvl w:val="2"/>
        <w:rPr>
          <w:rFonts w:ascii="方正小标宋_GBK" w:eastAsia="方正小标宋_GBK" w:hAnsi="方正小标宋_GBK" w:cs="方正小标宋_GBK" w:hint="eastAsia"/>
          <w:color w:val="000000" w:themeColor="text1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专题对接活动</w:t>
      </w:r>
      <w:r>
        <w:rPr>
          <w:rFonts w:ascii="方正小标宋_GBK" w:eastAsia="方正小标宋_GBK" w:hAnsi="方正小标宋_GBK" w:cs="方正小标宋_GBK" w:hint="eastAsia"/>
          <w:color w:val="000000" w:themeColor="text1"/>
          <w:sz w:val="44"/>
          <w:szCs w:val="44"/>
        </w:rPr>
        <w:t>采购评分标准</w:t>
      </w:r>
    </w:p>
    <w:tbl>
      <w:tblPr>
        <w:tblW w:w="5394" w:type="pct"/>
        <w:tblInd w:w="-2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27"/>
        <w:gridCol w:w="2345"/>
        <w:gridCol w:w="2552"/>
        <w:gridCol w:w="3340"/>
      </w:tblGrid>
      <w:tr w:rsidR="008A36EB" w14:paraId="6F681651" w14:textId="77777777">
        <w:trPr>
          <w:trHeight w:val="674"/>
        </w:trPr>
        <w:tc>
          <w:tcPr>
            <w:tcW w:w="6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10A0" w14:textId="77777777" w:rsidR="008A36EB" w:rsidRDefault="00E020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仿宋" w:hint="eastAsia"/>
                <w:bCs/>
                <w:color w:val="000000" w:themeColor="text1"/>
                <w:sz w:val="24"/>
                <w:lang w:val="zh-CN"/>
              </w:rPr>
            </w:pPr>
            <w:r>
              <w:rPr>
                <w:rFonts w:ascii="仿宋" w:eastAsia="仿宋" w:hAnsi="仿宋" w:cs="仿宋" w:hint="eastAsia"/>
                <w:bCs/>
                <w:color w:val="000000" w:themeColor="text1"/>
                <w:sz w:val="24"/>
                <w:lang w:val="zh-CN"/>
              </w:rPr>
              <w:t>评分因素</w:t>
            </w:r>
          </w:p>
        </w:tc>
        <w:tc>
          <w:tcPr>
            <w:tcW w:w="1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85FF" w14:textId="77777777" w:rsidR="008A36EB" w:rsidRDefault="00E020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仿宋" w:hint="eastAsia"/>
                <w:bCs/>
                <w:color w:val="000000" w:themeColor="text1"/>
                <w:sz w:val="24"/>
                <w:lang w:val="zh-CN"/>
              </w:rPr>
            </w:pPr>
            <w:r>
              <w:rPr>
                <w:rFonts w:ascii="仿宋" w:eastAsia="仿宋" w:hAnsi="仿宋" w:cs="仿宋" w:hint="eastAsia"/>
                <w:bCs/>
                <w:color w:val="000000" w:themeColor="text1"/>
                <w:sz w:val="24"/>
                <w:lang w:val="zh-CN"/>
              </w:rPr>
              <w:t>商务部分</w:t>
            </w:r>
          </w:p>
        </w:tc>
        <w:tc>
          <w:tcPr>
            <w:tcW w:w="1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4022" w14:textId="77777777" w:rsidR="008A36EB" w:rsidRDefault="00E020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仿宋" w:hint="eastAsia"/>
                <w:bCs/>
                <w:color w:val="000000" w:themeColor="text1"/>
                <w:sz w:val="24"/>
                <w:lang w:val="zh-CN"/>
              </w:rPr>
            </w:pPr>
            <w:r>
              <w:rPr>
                <w:rFonts w:ascii="仿宋" w:eastAsia="仿宋" w:hAnsi="仿宋" w:cs="仿宋" w:hint="eastAsia"/>
                <w:bCs/>
                <w:color w:val="000000" w:themeColor="text1"/>
                <w:sz w:val="24"/>
                <w:lang w:val="zh-CN"/>
              </w:rPr>
              <w:t>技术部分</w:t>
            </w:r>
          </w:p>
        </w:tc>
        <w:tc>
          <w:tcPr>
            <w:tcW w:w="17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308A" w14:textId="77777777" w:rsidR="008A36EB" w:rsidRDefault="00E020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仿宋" w:hint="eastAsia"/>
                <w:bCs/>
                <w:color w:val="000000" w:themeColor="text1"/>
                <w:sz w:val="24"/>
                <w:lang w:val="zh-CN"/>
              </w:rPr>
            </w:pPr>
            <w:r>
              <w:rPr>
                <w:rFonts w:ascii="仿宋" w:eastAsia="仿宋" w:hAnsi="仿宋" w:cs="仿宋" w:hint="eastAsia"/>
                <w:bCs/>
                <w:color w:val="000000" w:themeColor="text1"/>
                <w:sz w:val="24"/>
                <w:lang w:val="zh-CN"/>
              </w:rPr>
              <w:t>总分</w:t>
            </w:r>
          </w:p>
        </w:tc>
      </w:tr>
      <w:tr w:rsidR="008A36EB" w14:paraId="2C098BD7" w14:textId="77777777">
        <w:trPr>
          <w:trHeight w:val="706"/>
        </w:trPr>
        <w:tc>
          <w:tcPr>
            <w:tcW w:w="6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08C1" w14:textId="77777777" w:rsidR="008A36EB" w:rsidRDefault="00E020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  <w:lang w:val="zh-CN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  <w:lang w:val="zh-CN"/>
              </w:rPr>
              <w:t>分值比重</w:t>
            </w:r>
          </w:p>
        </w:tc>
        <w:tc>
          <w:tcPr>
            <w:tcW w:w="1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9A2B" w14:textId="77777777" w:rsidR="008A36EB" w:rsidRDefault="00E020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  <w:lang w:val="zh-CN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28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  <w:lang w:val="zh-CN"/>
              </w:rPr>
              <w:t>分</w:t>
            </w:r>
          </w:p>
        </w:tc>
        <w:tc>
          <w:tcPr>
            <w:tcW w:w="1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5D75" w14:textId="77777777" w:rsidR="008A36EB" w:rsidRDefault="00E020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  <w:lang w:val="zh-CN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72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  <w:lang w:val="zh-CN"/>
              </w:rPr>
              <w:t>分</w:t>
            </w:r>
          </w:p>
        </w:tc>
        <w:tc>
          <w:tcPr>
            <w:tcW w:w="17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1252" w14:textId="77777777" w:rsidR="008A36EB" w:rsidRDefault="00E020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  <w:lang w:val="zh-CN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  <w:lang w:val="zh-CN"/>
              </w:rPr>
              <w:t>100分</w:t>
            </w:r>
          </w:p>
        </w:tc>
      </w:tr>
    </w:tbl>
    <w:p w14:paraId="05467C7E" w14:textId="77777777" w:rsidR="008A36EB" w:rsidRDefault="008A36EB">
      <w:pPr>
        <w:rPr>
          <w:rFonts w:ascii="仿宋" w:eastAsia="仿宋" w:hAnsi="仿宋" w:cs="仿宋" w:hint="eastAsia"/>
          <w:color w:val="000000" w:themeColor="text1"/>
          <w:sz w:val="24"/>
        </w:rPr>
      </w:pPr>
    </w:p>
    <w:tbl>
      <w:tblPr>
        <w:tblW w:w="9585" w:type="dxa"/>
        <w:tblInd w:w="-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1"/>
        <w:gridCol w:w="1955"/>
        <w:gridCol w:w="773"/>
        <w:gridCol w:w="5516"/>
      </w:tblGrid>
      <w:tr w:rsidR="008A36EB" w14:paraId="08FC5689" w14:textId="77777777">
        <w:tc>
          <w:tcPr>
            <w:tcW w:w="3296" w:type="dxa"/>
            <w:gridSpan w:val="2"/>
          </w:tcPr>
          <w:p w14:paraId="7C22A8E3" w14:textId="77777777" w:rsidR="008A36EB" w:rsidRDefault="00E020FA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评分项目</w:t>
            </w:r>
          </w:p>
        </w:tc>
        <w:tc>
          <w:tcPr>
            <w:tcW w:w="773" w:type="dxa"/>
          </w:tcPr>
          <w:p w14:paraId="58B618BB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分数</w:t>
            </w:r>
          </w:p>
        </w:tc>
        <w:tc>
          <w:tcPr>
            <w:tcW w:w="5516" w:type="dxa"/>
          </w:tcPr>
          <w:p w14:paraId="5CDF98F8" w14:textId="77777777" w:rsidR="008A36EB" w:rsidRDefault="00E020FA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评分标准</w:t>
            </w:r>
          </w:p>
        </w:tc>
      </w:tr>
      <w:tr w:rsidR="008A36EB" w14:paraId="4218896B" w14:textId="77777777">
        <w:tc>
          <w:tcPr>
            <w:tcW w:w="1341" w:type="dxa"/>
            <w:vMerge w:val="restart"/>
            <w:vAlign w:val="center"/>
          </w:tcPr>
          <w:p w14:paraId="53908396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商务部分</w:t>
            </w:r>
          </w:p>
        </w:tc>
        <w:tc>
          <w:tcPr>
            <w:tcW w:w="1955" w:type="dxa"/>
            <w:vAlign w:val="center"/>
          </w:tcPr>
          <w:p w14:paraId="6A14E5B6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响应报价</w:t>
            </w:r>
          </w:p>
        </w:tc>
        <w:tc>
          <w:tcPr>
            <w:tcW w:w="773" w:type="dxa"/>
            <w:vAlign w:val="center"/>
          </w:tcPr>
          <w:p w14:paraId="3EBD5740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10分</w:t>
            </w:r>
          </w:p>
        </w:tc>
        <w:tc>
          <w:tcPr>
            <w:tcW w:w="5516" w:type="dxa"/>
            <w:vAlign w:val="center"/>
          </w:tcPr>
          <w:p w14:paraId="00C90DD1" w14:textId="77777777" w:rsidR="008A36EB" w:rsidRDefault="00E020FA">
            <w:pPr>
              <w:spacing w:line="400" w:lineRule="exact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满足磋商文件要求且响应价格（或者最终价格）最低的响应报价为评标基准价，其价格分为满分。</w:t>
            </w:r>
          </w:p>
          <w:p w14:paraId="3C23BD0E" w14:textId="77777777" w:rsidR="008A36EB" w:rsidRDefault="00E020FA">
            <w:pPr>
              <w:spacing w:line="400" w:lineRule="exact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其它报价得分=评标基准价÷（响应报价或者最终价格）×10。</w:t>
            </w:r>
          </w:p>
        </w:tc>
      </w:tr>
      <w:tr w:rsidR="008A36EB" w14:paraId="5DB13CB4" w14:textId="77777777">
        <w:tc>
          <w:tcPr>
            <w:tcW w:w="1341" w:type="dxa"/>
            <w:vMerge/>
          </w:tcPr>
          <w:p w14:paraId="425CB02D" w14:textId="77777777" w:rsidR="008A36EB" w:rsidRDefault="008A36EB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78DF942C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企业业绩</w:t>
            </w:r>
          </w:p>
        </w:tc>
        <w:tc>
          <w:tcPr>
            <w:tcW w:w="773" w:type="dxa"/>
            <w:vAlign w:val="center"/>
          </w:tcPr>
          <w:p w14:paraId="3444566B" w14:textId="77777777" w:rsidR="008A36EB" w:rsidRDefault="00E020FA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12分</w:t>
            </w:r>
          </w:p>
        </w:tc>
        <w:tc>
          <w:tcPr>
            <w:tcW w:w="5516" w:type="dxa"/>
            <w:vAlign w:val="center"/>
          </w:tcPr>
          <w:p w14:paraId="3CB41938" w14:textId="77777777" w:rsidR="008A36EB" w:rsidRDefault="00E020FA">
            <w:pPr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供应商自2022年1月1日至今已签订的同类项目（以合同签订时间为准）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或主导过市级以上同类课题研究项目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，每有一个同类业绩得4分，最高得12分。</w:t>
            </w:r>
          </w:p>
          <w:p w14:paraId="643844B8" w14:textId="77777777" w:rsidR="008A36EB" w:rsidRDefault="00E020FA">
            <w:pPr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注：须提供同类项目的合同原件或加盖公章复印件，证明材料缺项或未提供的不得分</w:t>
            </w:r>
          </w:p>
        </w:tc>
      </w:tr>
      <w:tr w:rsidR="008A36EB" w14:paraId="07F5E3EC" w14:textId="77777777">
        <w:tc>
          <w:tcPr>
            <w:tcW w:w="1341" w:type="dxa"/>
            <w:vMerge/>
          </w:tcPr>
          <w:p w14:paraId="7372BAE0" w14:textId="77777777" w:rsidR="008A36EB" w:rsidRDefault="008A36EB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13781C63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  <w:szCs w:val="24"/>
              </w:rPr>
              <w:t>企业荣誉</w:t>
            </w:r>
          </w:p>
        </w:tc>
        <w:tc>
          <w:tcPr>
            <w:tcW w:w="773" w:type="dxa"/>
            <w:vAlign w:val="center"/>
          </w:tcPr>
          <w:p w14:paraId="01E5C2EF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6分</w:t>
            </w:r>
          </w:p>
        </w:tc>
        <w:tc>
          <w:tcPr>
            <w:tcW w:w="5516" w:type="dxa"/>
            <w:vAlign w:val="center"/>
          </w:tcPr>
          <w:p w14:paraId="6673EA71" w14:textId="77777777" w:rsidR="008A36EB" w:rsidRDefault="00E020FA">
            <w:pPr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自2022年1月1日至今（近三年）具有副省级及以上行政主管部门颁发的荣誉证书的，每有一个得2分，满分6分，未提供不得分。须提供荣誉证书原件或加盖公章的复印件，否则不得分。</w:t>
            </w:r>
          </w:p>
        </w:tc>
      </w:tr>
      <w:tr w:rsidR="008A36EB" w14:paraId="2E746887" w14:textId="77777777">
        <w:trPr>
          <w:trHeight w:val="1200"/>
        </w:trPr>
        <w:tc>
          <w:tcPr>
            <w:tcW w:w="1341" w:type="dxa"/>
            <w:vMerge w:val="restart"/>
            <w:vAlign w:val="center"/>
          </w:tcPr>
          <w:p w14:paraId="7F358A4E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技术部分</w:t>
            </w:r>
          </w:p>
        </w:tc>
        <w:tc>
          <w:tcPr>
            <w:tcW w:w="1955" w:type="dxa"/>
            <w:vAlign w:val="center"/>
          </w:tcPr>
          <w:p w14:paraId="4407CDAB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响应情况</w:t>
            </w:r>
          </w:p>
        </w:tc>
        <w:tc>
          <w:tcPr>
            <w:tcW w:w="773" w:type="dxa"/>
            <w:vAlign w:val="center"/>
          </w:tcPr>
          <w:p w14:paraId="7A69F25C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17分</w:t>
            </w:r>
          </w:p>
        </w:tc>
        <w:tc>
          <w:tcPr>
            <w:tcW w:w="5516" w:type="dxa"/>
          </w:tcPr>
          <w:p w14:paraId="4D839A13" w14:textId="77777777" w:rsidR="008A36EB" w:rsidRDefault="00E020FA">
            <w:pPr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全部满足实质性条款要求的得17分。</w:t>
            </w:r>
          </w:p>
          <w:p w14:paraId="4CBA9F0C" w14:textId="77777777" w:rsidR="008A36EB" w:rsidRDefault="00E020FA">
            <w:pPr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每出现1项条款未响应，扣除基础分3分。出现3条及以上的，响应情况项不得分。</w:t>
            </w:r>
          </w:p>
        </w:tc>
      </w:tr>
      <w:tr w:rsidR="008A36EB" w14:paraId="36E67748" w14:textId="77777777">
        <w:tc>
          <w:tcPr>
            <w:tcW w:w="1341" w:type="dxa"/>
            <w:vMerge/>
          </w:tcPr>
          <w:p w14:paraId="42DABC5D" w14:textId="77777777" w:rsidR="008A36EB" w:rsidRDefault="008A36EB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5C7913E6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服务方案</w:t>
            </w:r>
          </w:p>
        </w:tc>
        <w:tc>
          <w:tcPr>
            <w:tcW w:w="773" w:type="dxa"/>
            <w:vAlign w:val="center"/>
          </w:tcPr>
          <w:p w14:paraId="2BFD4FC6" w14:textId="77777777" w:rsidR="008A36EB" w:rsidRDefault="00E020F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15分</w:t>
            </w:r>
          </w:p>
        </w:tc>
        <w:tc>
          <w:tcPr>
            <w:tcW w:w="5516" w:type="dxa"/>
          </w:tcPr>
          <w:p w14:paraId="2FEA2404" w14:textId="77777777" w:rsidR="008A36EB" w:rsidRDefault="00E020FA">
            <w:pPr>
              <w:autoSpaceDE w:val="0"/>
              <w:autoSpaceDN w:val="0"/>
              <w:adjustRightInd w:val="0"/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1.针对本项目的服务标准及要求，对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拟邀请的</w:t>
            </w:r>
            <w:r w:rsidR="00730706"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黑湖科技等代表性企业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及</w:t>
            </w:r>
            <w:r w:rsidR="00730706"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相关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专家，主题分享课程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lastRenderedPageBreak/>
              <w:t>设计，</w:t>
            </w:r>
            <w:r w:rsidR="00730706"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对标交流、现场对接等环节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，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报告编制框架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等整体服务方案进行评价。服务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方案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内容全面、具体细致及措施切实可行，完全满足采购文件的，得5分；服务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方案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不够细致具备可行性，得3分；服务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方案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有严重缺项，缺乏可行性，得1分；未提供不得分。</w:t>
            </w:r>
          </w:p>
          <w:p w14:paraId="44747310" w14:textId="77777777" w:rsidR="008A36EB" w:rsidRDefault="00E020FA">
            <w:pPr>
              <w:autoSpaceDE w:val="0"/>
              <w:autoSpaceDN w:val="0"/>
              <w:adjustRightInd w:val="0"/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2.供应商方案应详尽涵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盖面向参会</w:t>
            </w:r>
            <w:r w:rsidR="00730706"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企业的参会需知、会务组织、对接流程等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；紧扣活动主题</w:t>
            </w:r>
            <w:r w:rsidR="00730706"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的主视觉设计、</w:t>
            </w:r>
            <w:r w:rsid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活动日程，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以及</w:t>
            </w:r>
            <w:r w:rsidR="00730706"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会场布置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设计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；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报告编制应围绕“10+1”创新型产业体系，涵盖市民营经济局和中心开展的各类中小企业服务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。方案系统全面，流程严谨，具备卓越的落地执行力得5分；方案基本可行，流程完整但细节不足，具备基本执行力得3分；服务流程有严重缺项，缺乏可行性，得1分；未提供不得分。</w:t>
            </w:r>
          </w:p>
          <w:p w14:paraId="426EFCD6" w14:textId="77777777" w:rsidR="008A36EB" w:rsidRDefault="00E020FA" w:rsidP="00730706">
            <w:pPr>
              <w:autoSpaceDE w:val="0"/>
              <w:autoSpaceDN w:val="0"/>
              <w:adjustRightInd w:val="0"/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3.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供应商提供合理的售后服务方案，包括青岛企业</w:t>
            </w:r>
            <w:r w:rsidR="00730706"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参会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满意度</w:t>
            </w:r>
            <w:r w:rsidR="00730706"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等。</w:t>
            </w:r>
            <w:r w:rsidRPr="00730706">
              <w:rPr>
                <w:rFonts w:ascii="仿宋" w:eastAsia="仿宋" w:hAnsi="仿宋" w:cs="仿宋" w:hint="eastAsia"/>
                <w:color w:val="000000" w:themeColor="text1"/>
                <w:sz w:val="24"/>
              </w:rPr>
              <w:t>在项目终止前，应及时更新课题研究报告服务数据和服务案例，服务方案措施清晰、内容详细得5分，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服务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方案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不够细致具备可行性，得3分；服务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方案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有严重缺项，缺乏可行性，得1分；未提供不得分。</w:t>
            </w:r>
          </w:p>
        </w:tc>
      </w:tr>
      <w:tr w:rsidR="008A36EB" w14:paraId="6B370A65" w14:textId="77777777">
        <w:tc>
          <w:tcPr>
            <w:tcW w:w="1341" w:type="dxa"/>
            <w:vMerge/>
          </w:tcPr>
          <w:p w14:paraId="427AE151" w14:textId="77777777" w:rsidR="008A36EB" w:rsidRDefault="008A36EB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7F22CA4C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项目服务团队</w:t>
            </w:r>
          </w:p>
        </w:tc>
        <w:tc>
          <w:tcPr>
            <w:tcW w:w="773" w:type="dxa"/>
            <w:vAlign w:val="center"/>
          </w:tcPr>
          <w:p w14:paraId="74B7B8B2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473584DE" w14:textId="3120716F" w:rsidR="008A36EB" w:rsidRDefault="00E020FA" w:rsidP="00CB6ECB">
            <w:pPr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人员职责分工明确，岗位安排合理、人员结构完整，组织管理措施得当，对团队人员的稳定性的保证措施得当，得8分；人员职责分工</w:t>
            </w:r>
            <w:r w:rsidR="00CB6EC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基本明确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，岗位安排</w:t>
            </w:r>
            <w:r w:rsidR="00CB6EC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较合理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、人员结构</w:t>
            </w:r>
            <w:r w:rsidR="00CB6EC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较完整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，组织管理措施</w:t>
            </w:r>
            <w:r w:rsidR="00CB6EC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较得当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，对团队人员的稳定性的保证措施</w:t>
            </w:r>
            <w:r w:rsidR="00CB6EC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较得当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，得5分；人员职责分工、岗位安排、人员结构、团队人员稳定性有略微瑕疵，得3分；人员职责分工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lastRenderedPageBreak/>
              <w:t>不明确，岗位安排不合理、人员结构不完整，组织管理措施不当，对团队人员的稳定性的保证措施不当，得1分；未提供的不得分。</w:t>
            </w:r>
          </w:p>
        </w:tc>
      </w:tr>
      <w:tr w:rsidR="008A36EB" w14:paraId="5A56453C" w14:textId="77777777">
        <w:tc>
          <w:tcPr>
            <w:tcW w:w="1341" w:type="dxa"/>
            <w:vMerge/>
          </w:tcPr>
          <w:p w14:paraId="3996A50D" w14:textId="77777777" w:rsidR="008A36EB" w:rsidRDefault="008A36EB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6346ADFA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服务定位</w:t>
            </w:r>
          </w:p>
        </w:tc>
        <w:tc>
          <w:tcPr>
            <w:tcW w:w="773" w:type="dxa"/>
            <w:vAlign w:val="center"/>
          </w:tcPr>
          <w:p w14:paraId="298D29E3" w14:textId="77777777" w:rsidR="008A36EB" w:rsidRDefault="00E020F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278CA9AE" w14:textId="77777777" w:rsidR="008A36EB" w:rsidRDefault="00E020FA">
            <w:pPr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/>
                <w:color w:val="000000" w:themeColor="text1"/>
                <w:sz w:val="24"/>
              </w:rPr>
              <w:t>从服务好项目角度出发进行综合评分，整体统筹规划、认识深刻、定位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合理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的，得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8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分；从服务好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项目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角度出发对项目的整体统筹规划、认识、定位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略有瑕疵的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，得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5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分；整体统筹规划、认识、定位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有严重缺项，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得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3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分</w:t>
            </w: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；方案不详细缺乏可行性，得1分；</w:t>
            </w:r>
            <w:r>
              <w:rPr>
                <w:rFonts w:ascii="仿宋" w:eastAsia="仿宋" w:hAnsi="仿宋" w:cs="仿宋"/>
                <w:color w:val="000000" w:themeColor="text1"/>
                <w:sz w:val="24"/>
              </w:rPr>
              <w:t>未提供不得分。</w:t>
            </w:r>
          </w:p>
        </w:tc>
      </w:tr>
      <w:tr w:rsidR="008A36EB" w14:paraId="190EC60B" w14:textId="77777777">
        <w:tc>
          <w:tcPr>
            <w:tcW w:w="1341" w:type="dxa"/>
            <w:vMerge/>
          </w:tcPr>
          <w:p w14:paraId="3AAB0483" w14:textId="77777777" w:rsidR="008A36EB" w:rsidRDefault="008A36EB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4DD8D6C7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项目理解</w:t>
            </w:r>
          </w:p>
        </w:tc>
        <w:tc>
          <w:tcPr>
            <w:tcW w:w="773" w:type="dxa"/>
            <w:vAlign w:val="center"/>
          </w:tcPr>
          <w:p w14:paraId="12B46B2F" w14:textId="77777777" w:rsidR="008A36EB" w:rsidRDefault="00E020F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2E80AA37" w14:textId="77777777" w:rsidR="008A36EB" w:rsidRDefault="00E020FA">
            <w:pPr>
              <w:widowControl/>
              <w:autoSpaceDE w:val="0"/>
              <w:autoSpaceDN w:val="0"/>
              <w:adjustRightInd w:val="0"/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对项目的需求理解与分析、关键点、重点、难点环节把握进行综合打分。</w:t>
            </w:r>
            <w:r>
              <w:rPr>
                <w:rFonts w:ascii="仿宋" w:eastAsia="仿宋" w:hAnsi="仿宋" w:hint="eastAsia"/>
                <w:color w:val="000000" w:themeColor="text1"/>
                <w:sz w:val="24"/>
              </w:rPr>
              <w:t>项目理解全面完善、合理可行、清晰明确的，得8分；项目理解能满足项目要求的，得5分；项目理解有瑕疵的，得3分；内容有明显缺漏项，缺乏可行性，描述不清晰的，得1分；未提供不得分。</w:t>
            </w:r>
          </w:p>
        </w:tc>
      </w:tr>
      <w:tr w:rsidR="008A36EB" w14:paraId="43F4C4FA" w14:textId="77777777">
        <w:tc>
          <w:tcPr>
            <w:tcW w:w="1341" w:type="dxa"/>
            <w:vMerge/>
          </w:tcPr>
          <w:p w14:paraId="66D0411A" w14:textId="77777777" w:rsidR="008A36EB" w:rsidRDefault="008A36EB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5E5E699F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服务保障措施</w:t>
            </w:r>
          </w:p>
        </w:tc>
        <w:tc>
          <w:tcPr>
            <w:tcW w:w="773" w:type="dxa"/>
            <w:vAlign w:val="center"/>
          </w:tcPr>
          <w:p w14:paraId="6706D72B" w14:textId="77777777" w:rsidR="008A36EB" w:rsidRDefault="00E020F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0C7987BB" w14:textId="77777777" w:rsidR="008A36EB" w:rsidRDefault="00E020FA">
            <w:pPr>
              <w:widowControl/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各项服务保证措施、保密措施制定科学、合理，建立完整的工作台帐、工作信息收集、反馈等客户质量保证措施。对服务保障措施的全面性、合理性进行综合评价：</w:t>
            </w:r>
          </w:p>
          <w:p w14:paraId="2D58D51F" w14:textId="77777777" w:rsidR="008A36EB" w:rsidRDefault="00E020FA">
            <w:pPr>
              <w:widowControl/>
              <w:spacing w:line="360" w:lineRule="auto"/>
              <w:ind w:firstLineChars="200" w:firstLine="480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供应商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组织机构及服务质量保证措施、能做到机构健全，建立完整的工作台帐、工作信息收集等客户质量保证措施，内容全面完善、合理可行、清晰明确的，得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8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分；内容无缺漏项，描述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可行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的，得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5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分；内容有缺漏，描述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略有瑕疵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的，得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3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分；内容有缺漏，描述不清晰的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，</w:t>
            </w:r>
            <w:r>
              <w:rPr>
                <w:rFonts w:ascii="仿宋" w:eastAsia="仿宋" w:hAnsi="仿宋" w:hint="eastAsia"/>
                <w:color w:val="000000" w:themeColor="text1"/>
                <w:sz w:val="24"/>
              </w:rPr>
              <w:t>缺乏可行性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，得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1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分；未提供不得分。</w:t>
            </w:r>
          </w:p>
        </w:tc>
      </w:tr>
      <w:tr w:rsidR="008A36EB" w14:paraId="63CEB1F6" w14:textId="77777777">
        <w:tc>
          <w:tcPr>
            <w:tcW w:w="1341" w:type="dxa"/>
            <w:vMerge/>
          </w:tcPr>
          <w:p w14:paraId="203585EF" w14:textId="77777777" w:rsidR="008A36EB" w:rsidRDefault="008A36EB">
            <w:pPr>
              <w:spacing w:line="360" w:lineRule="auto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405FF6DE" w14:textId="77777777" w:rsidR="008A36EB" w:rsidRDefault="00E020FA">
            <w:pPr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应急服务方案</w:t>
            </w:r>
          </w:p>
        </w:tc>
        <w:tc>
          <w:tcPr>
            <w:tcW w:w="773" w:type="dxa"/>
            <w:vAlign w:val="center"/>
          </w:tcPr>
          <w:p w14:paraId="3C8E82B5" w14:textId="77777777" w:rsidR="008A36EB" w:rsidRDefault="00E020F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eastAsia="仿宋" w:hAnsi="仿宋" w:cs="仿宋" w:hint="eastAsia"/>
                <w:color w:val="000000" w:themeColor="text1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42392E59" w14:textId="77777777" w:rsidR="008A36EB" w:rsidRDefault="00E020FA">
            <w:pPr>
              <w:widowControl/>
              <w:spacing w:line="360" w:lineRule="auto"/>
              <w:ind w:firstLineChars="200" w:firstLine="480"/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</w:pP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供应商根据本项目制定应急服务方案（包括但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lastRenderedPageBreak/>
              <w:t>不限于活动场地突发状况应急方案、人员安全应急方案等），根据提供方案的全面性、科学性、合理性、针对性进行综合评审：</w:t>
            </w:r>
          </w:p>
          <w:p w14:paraId="26B3E8F2" w14:textId="77777777" w:rsidR="008A36EB" w:rsidRDefault="00E020FA">
            <w:pPr>
              <w:widowControl/>
              <w:spacing w:line="360" w:lineRule="auto"/>
              <w:ind w:firstLineChars="200" w:firstLine="480"/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</w:pP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应急服务方案及措施针对性强，全面详尽可行性强、措施实施的步骤方法科学合理得8分；</w:t>
            </w:r>
          </w:p>
          <w:p w14:paraId="5EFC52DF" w14:textId="77777777" w:rsidR="008A36EB" w:rsidRDefault="00E020FA">
            <w:pPr>
              <w:widowControl/>
              <w:spacing w:line="360" w:lineRule="auto"/>
              <w:ind w:firstLineChars="200" w:firstLine="480"/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</w:pP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应急服务方案及措施有瑕疵且具有大众化，措施实施的步骤方法基础均具有可行性得5分；</w:t>
            </w:r>
          </w:p>
          <w:p w14:paraId="11040F61" w14:textId="77777777" w:rsidR="008A36EB" w:rsidRDefault="00E020FA">
            <w:pPr>
              <w:widowControl/>
              <w:spacing w:line="360" w:lineRule="auto"/>
              <w:ind w:firstLineChars="200" w:firstLine="480"/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</w:pP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应急服务方案及措施简单粗略，措施实施的步骤方法部分</w:t>
            </w:r>
            <w:r>
              <w:rPr>
                <w:rStyle w:val="NormalCharacter"/>
                <w:rFonts w:ascii="仿宋" w:eastAsia="仿宋" w:hAnsi="仿宋"/>
                <w:color w:val="000000" w:themeColor="text1"/>
                <w:sz w:val="24"/>
              </w:rPr>
              <w:t>有缺漏</w:t>
            </w:r>
            <w:r>
              <w:rPr>
                <w:rStyle w:val="NormalCharacter"/>
                <w:rFonts w:ascii="仿宋" w:eastAsia="仿宋" w:hAnsi="仿宋" w:hint="eastAsia"/>
                <w:color w:val="000000" w:themeColor="text1"/>
                <w:sz w:val="24"/>
              </w:rPr>
              <w:t>的得3分；应急服务方案及措施描述不清晰的，缺乏可行性，得1分；未提供不得分。</w:t>
            </w:r>
          </w:p>
        </w:tc>
      </w:tr>
    </w:tbl>
    <w:p w14:paraId="0B8E0D47" w14:textId="77777777" w:rsidR="008A36EB" w:rsidRDefault="008A36EB">
      <w:pPr>
        <w:pStyle w:val="2"/>
        <w:ind w:leftChars="0" w:left="0" w:firstLineChars="0" w:firstLine="0"/>
        <w:rPr>
          <w:rFonts w:ascii="Calibri" w:hAnsi="Calibri"/>
          <w:color w:val="000000" w:themeColor="text1"/>
          <w:kern w:val="2"/>
          <w:sz w:val="21"/>
          <w:szCs w:val="22"/>
        </w:rPr>
      </w:pPr>
    </w:p>
    <w:p w14:paraId="63A00747" w14:textId="77777777" w:rsidR="008A36EB" w:rsidRDefault="008A36EB"/>
    <w:sectPr w:rsidR="008A36EB" w:rsidSect="00EE5871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C2DF1" w14:textId="77777777" w:rsidR="00A51DD7" w:rsidRDefault="00A51DD7" w:rsidP="00730706">
      <w:r>
        <w:separator/>
      </w:r>
    </w:p>
  </w:endnote>
  <w:endnote w:type="continuationSeparator" w:id="0">
    <w:p w14:paraId="220C9655" w14:textId="77777777" w:rsidR="00A51DD7" w:rsidRDefault="00A51DD7" w:rsidP="007307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21EE4" w14:textId="77777777" w:rsidR="00A51DD7" w:rsidRDefault="00A51DD7" w:rsidP="00730706">
      <w:r>
        <w:separator/>
      </w:r>
    </w:p>
  </w:footnote>
  <w:footnote w:type="continuationSeparator" w:id="0">
    <w:p w14:paraId="138D092D" w14:textId="77777777" w:rsidR="00A51DD7" w:rsidRDefault="00A51DD7" w:rsidP="007307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25DF"/>
    <w:rsid w:val="001E61BA"/>
    <w:rsid w:val="002175BA"/>
    <w:rsid w:val="00431A20"/>
    <w:rsid w:val="005D4603"/>
    <w:rsid w:val="00730706"/>
    <w:rsid w:val="007D25DF"/>
    <w:rsid w:val="00881202"/>
    <w:rsid w:val="008A36EB"/>
    <w:rsid w:val="008B312A"/>
    <w:rsid w:val="008F6558"/>
    <w:rsid w:val="00A51DD7"/>
    <w:rsid w:val="00CB6ECB"/>
    <w:rsid w:val="00E020FA"/>
    <w:rsid w:val="00EE5871"/>
    <w:rsid w:val="00FB5CAE"/>
    <w:rsid w:val="027E034C"/>
    <w:rsid w:val="05340028"/>
    <w:rsid w:val="0D1D5845"/>
    <w:rsid w:val="1F325180"/>
    <w:rsid w:val="22342FBD"/>
    <w:rsid w:val="22995516"/>
    <w:rsid w:val="24961247"/>
    <w:rsid w:val="24D97E4C"/>
    <w:rsid w:val="25A93CC2"/>
    <w:rsid w:val="3BD4394A"/>
    <w:rsid w:val="3DCB0822"/>
    <w:rsid w:val="3FE200A5"/>
    <w:rsid w:val="4546194F"/>
    <w:rsid w:val="534C78B7"/>
    <w:rsid w:val="53E21FCA"/>
    <w:rsid w:val="642108EC"/>
    <w:rsid w:val="684828EC"/>
    <w:rsid w:val="6EF8049C"/>
    <w:rsid w:val="6F433E0D"/>
    <w:rsid w:val="73903399"/>
    <w:rsid w:val="78034139"/>
    <w:rsid w:val="79102FB2"/>
    <w:rsid w:val="7BB120FE"/>
    <w:rsid w:val="7C2D4B10"/>
    <w:rsid w:val="7E960F0B"/>
    <w:rsid w:val="7F78670C"/>
    <w:rsid w:val="7F8200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7697AE5"/>
  <w15:docId w15:val="{F5ED7014-3C66-437E-A3DE-AADD59B8C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uiPriority="0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E587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qFormat/>
    <w:rsid w:val="00EE5871"/>
    <w:pPr>
      <w:spacing w:after="120"/>
      <w:ind w:leftChars="200" w:left="420"/>
    </w:pPr>
  </w:style>
  <w:style w:type="paragraph" w:styleId="a5">
    <w:name w:val="footer"/>
    <w:basedOn w:val="a"/>
    <w:link w:val="a6"/>
    <w:uiPriority w:val="99"/>
    <w:unhideWhenUsed/>
    <w:qFormat/>
    <w:rsid w:val="00EE58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rsid w:val="00EE58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First Indent 2"/>
    <w:basedOn w:val="a3"/>
    <w:link w:val="20"/>
    <w:qFormat/>
    <w:rsid w:val="00EE5871"/>
    <w:pPr>
      <w:ind w:firstLineChars="200" w:firstLine="420"/>
    </w:pPr>
    <w:rPr>
      <w:rFonts w:ascii="Times New Roman" w:eastAsia="宋体" w:hAnsi="Times New Roman" w:cs="Times New Roman"/>
      <w:kern w:val="0"/>
      <w:sz w:val="20"/>
      <w:szCs w:val="24"/>
    </w:rPr>
  </w:style>
  <w:style w:type="character" w:styleId="a9">
    <w:name w:val="Strong"/>
    <w:basedOn w:val="a0"/>
    <w:uiPriority w:val="22"/>
    <w:qFormat/>
    <w:rsid w:val="00EE5871"/>
    <w:rPr>
      <w:b/>
    </w:rPr>
  </w:style>
  <w:style w:type="character" w:customStyle="1" w:styleId="a8">
    <w:name w:val="页眉 字符"/>
    <w:basedOn w:val="a0"/>
    <w:link w:val="a7"/>
    <w:uiPriority w:val="99"/>
    <w:rsid w:val="00EE5871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EE5871"/>
    <w:rPr>
      <w:sz w:val="18"/>
      <w:szCs w:val="18"/>
    </w:rPr>
  </w:style>
  <w:style w:type="character" w:customStyle="1" w:styleId="a4">
    <w:name w:val="正文文本缩进 字符"/>
    <w:basedOn w:val="a0"/>
    <w:link w:val="a3"/>
    <w:uiPriority w:val="99"/>
    <w:semiHidden/>
    <w:rsid w:val="00EE5871"/>
  </w:style>
  <w:style w:type="character" w:customStyle="1" w:styleId="20">
    <w:name w:val="正文文本首行缩进 2 字符"/>
    <w:basedOn w:val="a4"/>
    <w:link w:val="2"/>
    <w:qFormat/>
    <w:rsid w:val="00EE5871"/>
    <w:rPr>
      <w:rFonts w:ascii="Times New Roman" w:eastAsia="宋体" w:hAnsi="Times New Roman" w:cs="Times New Roman"/>
      <w:kern w:val="0"/>
      <w:sz w:val="20"/>
      <w:szCs w:val="24"/>
    </w:rPr>
  </w:style>
  <w:style w:type="character" w:customStyle="1" w:styleId="NormalCharacter">
    <w:name w:val="NormalCharacter"/>
    <w:qFormat/>
    <w:rsid w:val="00EE5871"/>
  </w:style>
  <w:style w:type="paragraph" w:styleId="aa">
    <w:name w:val="Balloon Text"/>
    <w:basedOn w:val="a"/>
    <w:link w:val="ab"/>
    <w:uiPriority w:val="99"/>
    <w:semiHidden/>
    <w:unhideWhenUsed/>
    <w:rsid w:val="00CB6ECB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CB6EC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c">
    <w:name w:val="Revision"/>
    <w:hidden/>
    <w:uiPriority w:val="99"/>
    <w:semiHidden/>
    <w:rsid w:val="002175BA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937</Words>
  <Characters>947</Characters>
  <Application>Microsoft Office Word</Application>
  <DocSecurity>0</DocSecurity>
  <Lines>67</Lines>
  <Paragraphs>55</Paragraphs>
  <ScaleCrop>false</ScaleCrop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THTF</dc:creator>
  <cp:lastModifiedBy>kaoyanrenjun@163.com</cp:lastModifiedBy>
  <cp:revision>6</cp:revision>
  <dcterms:created xsi:type="dcterms:W3CDTF">2025-10-13T08:10:00Z</dcterms:created>
  <dcterms:modified xsi:type="dcterms:W3CDTF">2025-11-03T09:00:00Z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eyJoZGlkIjoiZTVlYTk2N2Q0YTBlODhjYzVmOTYzYmM5YzNiOTYyMGEiLCJ1c2VySWQiOiI0NTI2NDQyNjkifQ==</vt:lpwstr>
  </property>
  <property fmtid="{D5CDD505-2E9C-101B-9397-08002B2CF9AE}" pid="3" name="KSOProductBuildVer">
    <vt:lpwstr>2052-12.1.0.23542</vt:lpwstr>
  </property>
  <property fmtid="{D5CDD505-2E9C-101B-9397-08002B2CF9AE}" pid="4" name="ICV">
    <vt:lpwstr>763DBC382FD14EF59BE08660010B613B_12</vt:lpwstr>
  </property>
</Properties>
</file>