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6DEA06">
      <w:pPr>
        <w:spacing w:line="560" w:lineRule="exact"/>
        <w:jc w:val="center"/>
        <w:rPr>
          <w:rFonts w:hint="eastAsia" w:ascii="方正小标宋_GBK" w:hAnsi="Times New Roman" w:eastAsia="方正小标宋_GBK" w:cs="Times New Roman"/>
          <w:bCs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val="en-US" w:eastAsia="zh-CN"/>
        </w:rPr>
        <w:t>青岛政策通平台信创适配迁移项目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报价单</w:t>
      </w:r>
    </w:p>
    <w:p w14:paraId="4EFB1853">
      <w:pPr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sz w:val="32"/>
          <w:szCs w:val="32"/>
        </w:rPr>
      </w:pPr>
    </w:p>
    <w:p w14:paraId="0B40BAE7">
      <w:pPr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单位名称：（公章）</w:t>
      </w:r>
    </w:p>
    <w:tbl>
      <w:tblPr>
        <w:tblStyle w:val="7"/>
        <w:tblW w:w="14743" w:type="dxa"/>
        <w:tblInd w:w="-4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91"/>
        <w:gridCol w:w="7648"/>
        <w:gridCol w:w="1504"/>
      </w:tblGrid>
      <w:tr w14:paraId="392A1F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591" w:type="dxa"/>
            <w:vAlign w:val="center"/>
          </w:tcPr>
          <w:p w14:paraId="2EAB1853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  <w:lang w:eastAsia="zh-CN"/>
              </w:rPr>
              <w:t>项目</w:t>
            </w:r>
            <w:r>
              <w:rPr>
                <w:rFonts w:hint="eastAsia" w:ascii="黑体" w:hAnsi="黑体" w:eastAsia="黑体" w:cs="仿宋_GB2312"/>
                <w:sz w:val="32"/>
                <w:szCs w:val="32"/>
              </w:rPr>
              <w:t>名称与主要内容</w:t>
            </w:r>
          </w:p>
        </w:tc>
        <w:tc>
          <w:tcPr>
            <w:tcW w:w="7648" w:type="dxa"/>
            <w:vAlign w:val="center"/>
          </w:tcPr>
          <w:p w14:paraId="2418FC2F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服务要求</w:t>
            </w:r>
          </w:p>
        </w:tc>
        <w:tc>
          <w:tcPr>
            <w:tcW w:w="1504" w:type="dxa"/>
            <w:vAlign w:val="center"/>
          </w:tcPr>
          <w:p w14:paraId="256BD50A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服务响应</w:t>
            </w:r>
          </w:p>
        </w:tc>
      </w:tr>
      <w:tr w14:paraId="56A917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6" w:hRule="atLeast"/>
        </w:trPr>
        <w:tc>
          <w:tcPr>
            <w:tcW w:w="5591" w:type="dxa"/>
          </w:tcPr>
          <w:p w14:paraId="158E7FF3">
            <w:pPr>
              <w:spacing w:line="360" w:lineRule="exact"/>
              <w:ind w:right="-315"/>
              <w:jc w:val="left"/>
              <w:textAlignment w:val="baseline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名称：</w:t>
            </w:r>
          </w:p>
          <w:p w14:paraId="4D44EEC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青岛政策通平台信创适配迁移项目</w:t>
            </w:r>
          </w:p>
          <w:p w14:paraId="48B1A702">
            <w:pPr>
              <w:pStyle w:val="2"/>
              <w:spacing w:line="360" w:lineRule="exact"/>
              <w:ind w:firstLine="0" w:firstLineChars="0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建设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内容：</w:t>
            </w:r>
          </w:p>
          <w:p w14:paraId="692A40A2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按照国家信息安全和信息技术应用创新工作要求，青岛市中小企业公共服务中心拟实施青岛政策通平台（以下简称平台，访问地址：zccx.qingdao.gov.cn）信创适配迁移项目。在确保平台持续稳定运行、服务不中断的前提下，将平台现行操作系统（CentOS）、中间件（Tomcat）及数据库（MySQL）进行国产化替换，同步完成平台主要功能（详见附件</w:t>
            </w: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：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青岛政策通平台信创适配迁移项目采购需求）的适配改造与数据迁移工作。改造后的平台</w:t>
            </w: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需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满足网络安全等保三级和商用密码安全性评估相关要求。</w:t>
            </w:r>
          </w:p>
          <w:p w14:paraId="10AD7927">
            <w:pPr>
              <w:pStyle w:val="3"/>
              <w:rPr>
                <w:rFonts w:hint="eastAsia"/>
              </w:rPr>
            </w:pPr>
          </w:p>
        </w:tc>
        <w:tc>
          <w:tcPr>
            <w:tcW w:w="7648" w:type="dxa"/>
          </w:tcPr>
          <w:p w14:paraId="4F8A1023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1.本采购需求根据项目实际需求制定。</w:t>
            </w:r>
          </w:p>
          <w:p w14:paraId="637C69F8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2.供应商所报价格应为含税全包价，包含提供相关服务的所有费用，合同存续期间采购人不额外支付任何费用。</w:t>
            </w:r>
          </w:p>
          <w:p w14:paraId="081358F4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3.根据本次采购内容，制定项目整体实施方案并组织完成项目实施，主要包括技术路线、实施路径、进度安排、拟承担本项目的团队成员清单及分工、项目团队成员缴纳社保证明、项目团队成员相关资质证书、平台运行保障、售后服务等内容。</w:t>
            </w:r>
          </w:p>
          <w:p w14:paraId="069870C0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4.采购人将安排监理单位对本项目实施全过程监理，成交供应商在项目实施期间，应自觉接受该监理单位的管理。</w:t>
            </w:r>
          </w:p>
          <w:p w14:paraId="7DE944F5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.服务成果验收：2025年底前交付。服务成果完成后，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由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成交供应商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向监理方提出验收申请，监理方审核通过后，采购人组织专家组依据项目立项文件、招标文件、投标文件、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合同及项目开发过程文件等材料的要求进行验收，并且出具书面验收报告。验收通过后，系统正式进入运行阶段；质保期自项目验收合格之日起计算，为期一年。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成交供应商所供服务成果及与之配套项目等不符合合同约定标准</w:t>
            </w: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的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，采购人有权拒收。</w:t>
            </w:r>
          </w:p>
          <w:p w14:paraId="10DDAC97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.项目团队要求：拟承担本项目的团队至少由1名经验丰富的项目经理负责，剩余项目成员包括负责项目改造的开发人员、测试人员，项目团队人数不少于5人。</w:t>
            </w:r>
          </w:p>
          <w:p w14:paraId="0037BAF4">
            <w:pPr>
              <w:keepNext w:val="0"/>
              <w:keepLines w:val="0"/>
              <w:pageBreakBefore w:val="0"/>
              <w:widowControl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left"/>
              <w:textAlignment w:val="baseline"/>
              <w:rPr>
                <w:rFonts w:hint="default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7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.付款方式：签订合同且财政资金拨付到位后，支付合同金额的30%；项目全部完成，验收合格且财政资金拨付到位后,支付合同金额的</w:t>
            </w: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0%；</w:t>
            </w: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质保期结束且财政资金拨付到位后，支付剩余合同款项。</w:t>
            </w:r>
          </w:p>
          <w:p w14:paraId="1396EDA2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8.数据备份：项目建立数据备份机制，每天定期备份全量数据库数据，每月定期备份项目全量数据,所有备份数据存储至少一年时间。</w:t>
            </w:r>
          </w:p>
          <w:p w14:paraId="4FDD5E43">
            <w:pPr>
              <w:keepNext w:val="0"/>
              <w:keepLines w:val="0"/>
              <w:pageBreakBefore w:val="0"/>
              <w:widowControl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9.服务保障：项目1年质保期内，提供免费运维服务，运维服务内容包括系统日常巡检、系统BUG及中高危漏洞修复等。具体要求：</w:t>
            </w:r>
          </w:p>
          <w:p w14:paraId="0A756CC2">
            <w:pPr>
              <w:keepNext w:val="0"/>
              <w:keepLines w:val="0"/>
              <w:pageBreakBefore w:val="0"/>
              <w:widowControl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（1）每周开展不少于1次系统日常巡检，包括操作系统、中间件、数据库及应用软件等运行状况，并做好巡检记录。</w:t>
            </w:r>
          </w:p>
          <w:p w14:paraId="439452A9">
            <w:pPr>
              <w:keepNext w:val="0"/>
              <w:keepLines w:val="0"/>
              <w:pageBreakBefore w:val="0"/>
              <w:widowControl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560" w:firstLineChars="200"/>
              <w:textAlignment w:val="baseline"/>
              <w:rPr>
                <w:rFonts w:hint="default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（2）发现系统存在中高危漏洞后应及时修复，无需定制开发即可修复的漏洞修复时间不超过24小时；需定制开发才可修复的漏洞修复时间不超过5个自然日。</w:t>
            </w:r>
          </w:p>
          <w:p w14:paraId="39A53F35">
            <w:pPr>
              <w:keepNext w:val="0"/>
              <w:keepLines w:val="0"/>
              <w:pageBreakBefore w:val="0"/>
              <w:widowControl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（3）系统出现故障时，要求运维人员工作日30分钟内响应，4小时内解决;非工作日1小时内响应，6小时以内解决。</w:t>
            </w:r>
          </w:p>
        </w:tc>
        <w:tc>
          <w:tcPr>
            <w:tcW w:w="1504" w:type="dxa"/>
            <w:vAlign w:val="center"/>
          </w:tcPr>
          <w:p w14:paraId="036AB5F3">
            <w:pPr>
              <w:spacing w:line="560" w:lineRule="exact"/>
              <w:jc w:val="center"/>
              <w:textAlignment w:val="baseline"/>
              <w:rPr>
                <w:sz w:val="24"/>
              </w:rPr>
            </w:pPr>
          </w:p>
        </w:tc>
      </w:tr>
      <w:tr w14:paraId="3B7673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3239" w:type="dxa"/>
            <w:gridSpan w:val="2"/>
            <w:vAlign w:val="center"/>
          </w:tcPr>
          <w:p w14:paraId="136DCDD4">
            <w:pPr>
              <w:spacing w:line="560" w:lineRule="exact"/>
              <w:jc w:val="center"/>
              <w:textAlignment w:val="baseline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报价金额（  万元）</w:t>
            </w:r>
          </w:p>
        </w:tc>
        <w:tc>
          <w:tcPr>
            <w:tcW w:w="1504" w:type="dxa"/>
          </w:tcPr>
          <w:p w14:paraId="3E9BDFF6">
            <w:pPr>
              <w:spacing w:line="560" w:lineRule="exact"/>
              <w:textAlignment w:val="baseline"/>
              <w:rPr>
                <w:sz w:val="24"/>
              </w:rPr>
            </w:pPr>
          </w:p>
        </w:tc>
      </w:tr>
    </w:tbl>
    <w:p w14:paraId="7935922C">
      <w:pPr>
        <w:spacing w:line="560" w:lineRule="exact"/>
        <w:jc w:val="left"/>
        <w:textAlignment w:val="baseline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联系人：                     联系方式：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k2NDYzNGEzZDhmYzUzZTFjYWY3NzRkOTE1NzM4YjIifQ=="/>
  </w:docVars>
  <w:rsids>
    <w:rsidRoot w:val="5BB55DA6"/>
    <w:rsid w:val="00061713"/>
    <w:rsid w:val="000B680B"/>
    <w:rsid w:val="00133088"/>
    <w:rsid w:val="001B2184"/>
    <w:rsid w:val="001F3ADA"/>
    <w:rsid w:val="00231FB6"/>
    <w:rsid w:val="00267E55"/>
    <w:rsid w:val="0029076E"/>
    <w:rsid w:val="002907EA"/>
    <w:rsid w:val="003C29DE"/>
    <w:rsid w:val="004245E0"/>
    <w:rsid w:val="00591DE8"/>
    <w:rsid w:val="00780200"/>
    <w:rsid w:val="007D4C81"/>
    <w:rsid w:val="00871356"/>
    <w:rsid w:val="009462A9"/>
    <w:rsid w:val="00977B22"/>
    <w:rsid w:val="00A066F7"/>
    <w:rsid w:val="00B07F03"/>
    <w:rsid w:val="00C4544A"/>
    <w:rsid w:val="00C52B6B"/>
    <w:rsid w:val="00D879C2"/>
    <w:rsid w:val="00DF6CC9"/>
    <w:rsid w:val="00FF23FA"/>
    <w:rsid w:val="02F521F9"/>
    <w:rsid w:val="03564285"/>
    <w:rsid w:val="04D31337"/>
    <w:rsid w:val="06627BA0"/>
    <w:rsid w:val="06A2029D"/>
    <w:rsid w:val="07723089"/>
    <w:rsid w:val="0D9F26FE"/>
    <w:rsid w:val="11586E4C"/>
    <w:rsid w:val="142F3566"/>
    <w:rsid w:val="14D013EF"/>
    <w:rsid w:val="15050E8F"/>
    <w:rsid w:val="1647622F"/>
    <w:rsid w:val="17A34B99"/>
    <w:rsid w:val="17E551B2"/>
    <w:rsid w:val="19192EAC"/>
    <w:rsid w:val="1CE03CC0"/>
    <w:rsid w:val="1F142DF3"/>
    <w:rsid w:val="20BC61B5"/>
    <w:rsid w:val="228E775A"/>
    <w:rsid w:val="23040BE2"/>
    <w:rsid w:val="239C706C"/>
    <w:rsid w:val="29F74DBD"/>
    <w:rsid w:val="2CD17A81"/>
    <w:rsid w:val="2D0E7E1B"/>
    <w:rsid w:val="2D9B2143"/>
    <w:rsid w:val="2DBA798C"/>
    <w:rsid w:val="2FDF0828"/>
    <w:rsid w:val="31BB1005"/>
    <w:rsid w:val="31DD089F"/>
    <w:rsid w:val="32C36D23"/>
    <w:rsid w:val="334626BE"/>
    <w:rsid w:val="35773495"/>
    <w:rsid w:val="35DC2D66"/>
    <w:rsid w:val="36992AFE"/>
    <w:rsid w:val="369F1E3C"/>
    <w:rsid w:val="36E65E63"/>
    <w:rsid w:val="374B7C7F"/>
    <w:rsid w:val="40D45C40"/>
    <w:rsid w:val="40DA65C1"/>
    <w:rsid w:val="410D5C6D"/>
    <w:rsid w:val="440D6621"/>
    <w:rsid w:val="451A334E"/>
    <w:rsid w:val="47C40234"/>
    <w:rsid w:val="4BBC305F"/>
    <w:rsid w:val="4BEB6533"/>
    <w:rsid w:val="4BFCE77A"/>
    <w:rsid w:val="4C892AB9"/>
    <w:rsid w:val="4FAF1A71"/>
    <w:rsid w:val="52CF270B"/>
    <w:rsid w:val="54101D4B"/>
    <w:rsid w:val="56DE5294"/>
    <w:rsid w:val="576132AD"/>
    <w:rsid w:val="576B029A"/>
    <w:rsid w:val="5A9B4E50"/>
    <w:rsid w:val="5ADF3707"/>
    <w:rsid w:val="5B1038C0"/>
    <w:rsid w:val="5BB55DA6"/>
    <w:rsid w:val="5D5D36B8"/>
    <w:rsid w:val="5E473A9D"/>
    <w:rsid w:val="5E619DD6"/>
    <w:rsid w:val="5E7B4977"/>
    <w:rsid w:val="5F617446"/>
    <w:rsid w:val="615838CB"/>
    <w:rsid w:val="62512697"/>
    <w:rsid w:val="63B949E8"/>
    <w:rsid w:val="65B85280"/>
    <w:rsid w:val="65E91958"/>
    <w:rsid w:val="689E075E"/>
    <w:rsid w:val="6A184540"/>
    <w:rsid w:val="6C662E5F"/>
    <w:rsid w:val="6DDF4422"/>
    <w:rsid w:val="6F63000B"/>
    <w:rsid w:val="72FE1C91"/>
    <w:rsid w:val="7497036E"/>
    <w:rsid w:val="74F85F35"/>
    <w:rsid w:val="78F211BA"/>
    <w:rsid w:val="79FF0716"/>
    <w:rsid w:val="7BC97448"/>
    <w:rsid w:val="7FAA1581"/>
    <w:rsid w:val="E33B5D1C"/>
    <w:rsid w:val="FEF75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qFormat="1"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qFormat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autoRedefine/>
    <w:qFormat/>
    <w:uiPriority w:val="0"/>
    <w:pPr>
      <w:spacing w:after="120"/>
    </w:pPr>
    <w:rPr>
      <w:sz w:val="32"/>
    </w:rPr>
  </w:style>
  <w:style w:type="paragraph" w:styleId="4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oc 9"/>
    <w:basedOn w:val="1"/>
    <w:next w:val="1"/>
    <w:autoRedefine/>
    <w:qFormat/>
    <w:uiPriority w:val="0"/>
    <w:pPr>
      <w:ind w:left="1680"/>
      <w:jc w:val="left"/>
    </w:pPr>
    <w:rPr>
      <w:rFonts w:ascii="Calibri" w:hAnsi="Calibri" w:cs="Calibri"/>
      <w:sz w:val="18"/>
      <w:szCs w:val="18"/>
    </w:rPr>
  </w:style>
  <w:style w:type="character" w:customStyle="1" w:styleId="9">
    <w:name w:val="页眉 字符"/>
    <w:basedOn w:val="8"/>
    <w:link w:val="5"/>
    <w:autoRedefine/>
    <w:qFormat/>
    <w:uiPriority w:val="0"/>
    <w:rPr>
      <w:rFonts w:ascii="Times New Roman" w:hAnsi="Times New Roman"/>
      <w:kern w:val="2"/>
      <w:sz w:val="18"/>
      <w:szCs w:val="18"/>
    </w:rPr>
  </w:style>
  <w:style w:type="paragraph" w:customStyle="1" w:styleId="10">
    <w:name w:val="样式 宋体 四号 居中 行距: 1.5 倍行距"/>
    <w:basedOn w:val="1"/>
    <w:autoRedefine/>
    <w:qFormat/>
    <w:uiPriority w:val="0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11">
    <w:name w:val="（（一））"/>
    <w:basedOn w:val="1"/>
    <w:link w:val="12"/>
    <w:qFormat/>
    <w:uiPriority w:val="0"/>
    <w:pPr>
      <w:spacing w:line="560" w:lineRule="exact"/>
      <w:ind w:firstLine="640" w:firstLineChars="200"/>
    </w:pPr>
    <w:rPr>
      <w:rFonts w:ascii="楷体_GB2312" w:eastAsia="楷体_GB2312"/>
      <w:sz w:val="32"/>
      <w:szCs w:val="32"/>
    </w:rPr>
  </w:style>
  <w:style w:type="character" w:customStyle="1" w:styleId="12">
    <w:name w:val="（（一）） Char"/>
    <w:link w:val="11"/>
    <w:qFormat/>
    <w:uiPriority w:val="0"/>
    <w:rPr>
      <w:rFonts w:ascii="楷体_GB2312" w:hAnsi="Times New Roman" w:eastAsia="楷体_GB2312"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1158</Words>
  <Characters>1210</Characters>
  <Lines>6</Lines>
  <Paragraphs>1</Paragraphs>
  <TotalTime>0</TotalTime>
  <ScaleCrop>false</ScaleCrop>
  <LinksUpToDate>false</LinksUpToDate>
  <CharactersWithSpaces>1233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2022-04-27T15:53:00Z</dcterms:created>
  <dc:creator>。。。</dc:creator>
  <cp:lastModifiedBy>ROAD</cp:lastModifiedBy>
  <dcterms:modified xsi:type="dcterms:W3CDTF">2025-11-03T10:01:17Z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7FA865153BA54910BC84358A07F9D705_13</vt:lpwstr>
  </property>
  <property fmtid="{D5CDD505-2E9C-101B-9397-08002B2CF9AE}" pid="4" name="KSOTemplateDocerSaveRecord">
    <vt:lpwstr>eyJoZGlkIjoiNmY3MTJkMWNmN2VlZDZmYjRmMTI0ZjVlZWVjNzRhMmIiLCJ1c2VySWQiOiIzNTk0MjMzNTQifQ==</vt:lpwstr>
  </property>
</Properties>
</file>