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附件4：</w:t>
      </w:r>
    </w:p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000000"/>
          <w:spacing w:val="-2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spacing w:val="-20"/>
          <w:sz w:val="44"/>
          <w:szCs w:val="44"/>
        </w:rPr>
        <w:t>关于2026年政策服务能力提升及政策宣传项目</w:t>
      </w:r>
    </w:p>
    <w:p>
      <w:pPr>
        <w:spacing w:line="560" w:lineRule="exact"/>
        <w:jc w:val="center"/>
        <w:rPr>
          <w:rFonts w:ascii="方正小标宋_GBK" w:hAnsi="Calibri" w:eastAsia="方正小标宋_GBK"/>
          <w:bCs/>
          <w:sz w:val="44"/>
          <w:szCs w:val="44"/>
        </w:rPr>
      </w:pPr>
      <w:r>
        <w:rPr>
          <w:rFonts w:hint="eastAsia" w:ascii="方正小标宋_GBK" w:hAnsi="Calibri" w:eastAsia="方正小标宋_GBK"/>
          <w:bCs/>
          <w:sz w:val="44"/>
          <w:szCs w:val="44"/>
        </w:rPr>
        <w:t>采购评分标准</w:t>
      </w:r>
    </w:p>
    <w:p>
      <w:pPr>
        <w:spacing w:before="36"/>
        <w:ind w:left="1092"/>
        <w:rPr>
          <w:sz w:val="24"/>
        </w:rPr>
      </w:pPr>
    </w:p>
    <w:tbl>
      <w:tblPr>
        <w:tblStyle w:val="2"/>
        <w:tblW w:w="945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7"/>
        <w:gridCol w:w="1310"/>
        <w:gridCol w:w="1324"/>
        <w:gridCol w:w="5336"/>
        <w:gridCol w:w="77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3" w:hRule="atLeast"/>
          <w:jc w:val="center"/>
        </w:trPr>
        <w:tc>
          <w:tcPr>
            <w:tcW w:w="717" w:type="dxa"/>
            <w:noWrap w:val="0"/>
            <w:vAlign w:val="center"/>
          </w:tcPr>
          <w:p>
            <w:pPr>
              <w:pStyle w:val="4"/>
              <w:spacing w:line="307" w:lineRule="auto"/>
              <w:ind w:right="144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序号</w:t>
            </w:r>
          </w:p>
        </w:tc>
        <w:tc>
          <w:tcPr>
            <w:tcW w:w="1310" w:type="dxa"/>
            <w:noWrap w:val="0"/>
            <w:vAlign w:val="center"/>
          </w:tcPr>
          <w:p>
            <w:pPr>
              <w:pStyle w:val="4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评审内容</w:t>
            </w:r>
          </w:p>
        </w:tc>
        <w:tc>
          <w:tcPr>
            <w:tcW w:w="1324" w:type="dxa"/>
            <w:noWrap w:val="0"/>
            <w:vAlign w:val="center"/>
          </w:tcPr>
          <w:p>
            <w:pPr>
              <w:pStyle w:val="4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具体指标</w:t>
            </w:r>
          </w:p>
        </w:tc>
        <w:tc>
          <w:tcPr>
            <w:tcW w:w="5336" w:type="dxa"/>
            <w:noWrap w:val="0"/>
            <w:vAlign w:val="center"/>
          </w:tcPr>
          <w:p>
            <w:pPr>
              <w:pStyle w:val="4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评分参考标准</w:t>
            </w:r>
          </w:p>
        </w:tc>
        <w:tc>
          <w:tcPr>
            <w:tcW w:w="771" w:type="dxa"/>
            <w:noWrap w:val="0"/>
            <w:vAlign w:val="center"/>
          </w:tcPr>
          <w:p>
            <w:pPr>
              <w:pStyle w:val="4"/>
              <w:spacing w:line="307" w:lineRule="auto"/>
              <w:ind w:right="144"/>
              <w:jc w:val="center"/>
              <w:rPr>
                <w:rFonts w:ascii="仿宋" w:hAnsi="仿宋" w:eastAsia="仿宋" w:cs="仿宋"/>
                <w:b/>
                <w:bCs/>
                <w:snapToGrid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napToGrid w:val="0"/>
                <w:sz w:val="28"/>
                <w:szCs w:val="28"/>
              </w:rPr>
              <w:t>分值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0" w:hRule="atLeast"/>
          <w:jc w:val="center"/>
        </w:trPr>
        <w:tc>
          <w:tcPr>
            <w:tcW w:w="717" w:type="dxa"/>
            <w:vMerge w:val="restart"/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/>
                <w:spacing w:val="-10"/>
                <w:sz w:val="24"/>
              </w:rPr>
            </w:pPr>
            <w:r>
              <w:rPr>
                <w:rFonts w:hint="eastAsia" w:ascii="仿宋"/>
                <w:spacing w:val="-10"/>
                <w:sz w:val="24"/>
              </w:rPr>
              <w:t>1</w:t>
            </w:r>
          </w:p>
        </w:tc>
        <w:tc>
          <w:tcPr>
            <w:tcW w:w="1310" w:type="dxa"/>
            <w:vMerge w:val="restart"/>
            <w:noWrap w:val="0"/>
            <w:vAlign w:val="center"/>
          </w:tcPr>
          <w:p>
            <w:pPr>
              <w:pStyle w:val="4"/>
              <w:spacing w:line="307" w:lineRule="auto"/>
              <w:ind w:left="395" w:right="144" w:hanging="240"/>
              <w:jc w:val="center"/>
              <w:rPr>
                <w:rFonts w:ascii="黑体" w:eastAsia="黑体"/>
                <w:spacing w:val="-4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sz w:val="28"/>
                <w:szCs w:val="28"/>
              </w:rPr>
              <w:t>商务部分</w:t>
            </w:r>
          </w:p>
        </w:tc>
        <w:tc>
          <w:tcPr>
            <w:tcW w:w="1324" w:type="dxa"/>
            <w:noWrap w:val="0"/>
            <w:vAlign w:val="center"/>
          </w:tcPr>
          <w:p>
            <w:pPr>
              <w:pStyle w:val="4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报价得分</w:t>
            </w:r>
          </w:p>
        </w:tc>
        <w:tc>
          <w:tcPr>
            <w:tcW w:w="5336" w:type="dxa"/>
            <w:noWrap w:val="0"/>
            <w:vAlign w:val="top"/>
          </w:tcPr>
          <w:p>
            <w:pPr>
              <w:widowControl/>
              <w:adjustRightInd w:val="0"/>
              <w:spacing w:line="400" w:lineRule="exact"/>
              <w:ind w:firstLine="480" w:firstLineChars="200"/>
              <w:rPr>
                <w:rStyle w:val="5"/>
                <w:rFonts w:cs="仿宋"/>
                <w:sz w:val="24"/>
              </w:rPr>
            </w:pPr>
            <w:r>
              <w:rPr>
                <w:rStyle w:val="5"/>
                <w:rFonts w:hint="eastAsia" w:cs="仿宋"/>
                <w:sz w:val="24"/>
              </w:rPr>
              <w:t>以满足招标文件要求且投标报价最低的投标价格为评标基准价，其价格分为满分。其他投标人的价格分统一按照下列公式计算:投标报价得分=（评标基准价/投标报价）×10</w:t>
            </w:r>
          </w:p>
          <w:p>
            <w:pPr>
              <w:widowControl/>
              <w:adjustRightInd w:val="0"/>
              <w:spacing w:line="400" w:lineRule="exact"/>
              <w:ind w:firstLine="480" w:firstLineChars="200"/>
              <w:rPr>
                <w:rStyle w:val="5"/>
                <w:rFonts w:cs="仿宋"/>
                <w:sz w:val="24"/>
              </w:rPr>
            </w:pPr>
            <w:r>
              <w:rPr>
                <w:rStyle w:val="5"/>
                <w:rFonts w:hint="eastAsia" w:cs="仿宋"/>
                <w:sz w:val="24"/>
              </w:rPr>
              <w:t>供应商报价高于项目预算无效。</w:t>
            </w:r>
          </w:p>
        </w:tc>
        <w:tc>
          <w:tcPr>
            <w:tcW w:w="771" w:type="dxa"/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1</w:t>
            </w:r>
            <w:r>
              <w:rPr>
                <w:rFonts w:ascii="仿宋"/>
                <w:spacing w:val="-5"/>
                <w:sz w:val="24"/>
              </w:rPr>
              <w:t>0</w:t>
            </w:r>
            <w:r>
              <w:rPr>
                <w:rFonts w:hint="eastAsia" w:ascii="仿宋"/>
                <w:spacing w:val="-5"/>
                <w:sz w:val="24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10" w:hRule="atLeast"/>
          <w:jc w:val="center"/>
        </w:trPr>
        <w:tc>
          <w:tcPr>
            <w:tcW w:w="717" w:type="dxa"/>
            <w:vMerge w:val="continue"/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310" w:type="dxa"/>
            <w:vMerge w:val="continue"/>
            <w:noWrap w:val="0"/>
            <w:vAlign w:val="center"/>
          </w:tcPr>
          <w:p>
            <w:pPr>
              <w:pStyle w:val="4"/>
              <w:spacing w:line="307" w:lineRule="auto"/>
              <w:ind w:left="395" w:right="144" w:hanging="240"/>
              <w:jc w:val="center"/>
              <w:rPr>
                <w:rFonts w:ascii="仿宋" w:hAnsi="仿宋" w:eastAsia="仿宋" w:cs="仿宋"/>
                <w:snapToGrid w:val="0"/>
                <w:sz w:val="28"/>
                <w:szCs w:val="28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widowControl/>
              <w:adjustRightInd w:val="0"/>
              <w:spacing w:line="36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企业业绩</w:t>
            </w:r>
          </w:p>
        </w:tc>
        <w:tc>
          <w:tcPr>
            <w:tcW w:w="5336" w:type="dxa"/>
            <w:noWrap w:val="0"/>
            <w:vAlign w:val="top"/>
          </w:tcPr>
          <w:p>
            <w:pPr>
              <w:widowControl/>
              <w:adjustRightInd w:val="0"/>
              <w:spacing w:line="400" w:lineRule="exact"/>
              <w:ind w:firstLine="480" w:firstLineChars="200"/>
              <w:rPr>
                <w:rStyle w:val="5"/>
                <w:rFonts w:cs="仿宋"/>
                <w:sz w:val="24"/>
              </w:rPr>
            </w:pPr>
            <w:r>
              <w:rPr>
                <w:rStyle w:val="5"/>
                <w:rFonts w:hint="eastAsia" w:cs="仿宋"/>
                <w:sz w:val="24"/>
              </w:rPr>
              <w:t>自2023年1月1日至今成功实施的同类项目，每提供一个项目合同得3分，满分15分。</w:t>
            </w:r>
          </w:p>
          <w:p>
            <w:pPr>
              <w:widowControl/>
              <w:adjustRightInd w:val="0"/>
              <w:spacing w:line="400" w:lineRule="exact"/>
              <w:ind w:firstLine="480" w:firstLineChars="200"/>
              <w:rPr>
                <w:rStyle w:val="5"/>
                <w:rFonts w:cs="仿宋"/>
                <w:sz w:val="24"/>
              </w:rPr>
            </w:pPr>
            <w:r>
              <w:rPr>
                <w:rStyle w:val="5"/>
                <w:rFonts w:hint="eastAsia" w:cs="仿宋"/>
                <w:sz w:val="24"/>
              </w:rPr>
              <w:t>供应商须提供同类项目合同原件（或复印件加盖公章），未提供不得分。业绩时间以同类项目合同中标注的时间为准。</w:t>
            </w:r>
          </w:p>
        </w:tc>
        <w:tc>
          <w:tcPr>
            <w:tcW w:w="771" w:type="dxa"/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15分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5" w:hRule="atLeast"/>
          <w:jc w:val="center"/>
        </w:trPr>
        <w:tc>
          <w:tcPr>
            <w:tcW w:w="717" w:type="dxa"/>
            <w:vMerge w:val="restart"/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/>
                <w:sz w:val="24"/>
              </w:rPr>
            </w:pPr>
            <w:r>
              <w:rPr>
                <w:rFonts w:ascii="仿宋"/>
                <w:spacing w:val="-10"/>
                <w:sz w:val="24"/>
              </w:rPr>
              <w:t>2</w:t>
            </w:r>
          </w:p>
        </w:tc>
        <w:tc>
          <w:tcPr>
            <w:tcW w:w="1310" w:type="dxa"/>
            <w:vMerge w:val="restart"/>
            <w:noWrap w:val="0"/>
            <w:vAlign w:val="center"/>
          </w:tcPr>
          <w:p>
            <w:pPr>
              <w:pStyle w:val="4"/>
              <w:spacing w:line="307" w:lineRule="auto"/>
              <w:ind w:left="395" w:right="144" w:hanging="240"/>
              <w:jc w:val="center"/>
              <w:rPr>
                <w:rFonts w:ascii="黑体" w:eastAsia="黑体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sz w:val="28"/>
                <w:szCs w:val="28"/>
              </w:rPr>
              <w:t>技术部分</w:t>
            </w:r>
          </w:p>
        </w:tc>
        <w:tc>
          <w:tcPr>
            <w:tcW w:w="1324" w:type="dxa"/>
            <w:noWrap w:val="0"/>
            <w:vAlign w:val="center"/>
          </w:tcPr>
          <w:p>
            <w:pPr>
              <w:pStyle w:val="4"/>
              <w:spacing w:line="307" w:lineRule="auto"/>
              <w:ind w:right="144"/>
              <w:jc w:val="center"/>
              <w:rPr>
                <w:sz w:val="24"/>
              </w:rPr>
            </w:pPr>
            <w:r>
              <w:rPr>
                <w:rFonts w:hint="eastAsia" w:ascii="仿宋" w:eastAsia="仿宋" w:cs="仿宋"/>
                <w:sz w:val="24"/>
                <w:lang w:val="zh-CN"/>
              </w:rPr>
              <w:t>响应情况</w:t>
            </w:r>
          </w:p>
        </w:tc>
        <w:tc>
          <w:tcPr>
            <w:tcW w:w="5336" w:type="dxa"/>
            <w:noWrap w:val="0"/>
            <w:vAlign w:val="top"/>
          </w:tcPr>
          <w:p>
            <w:pPr>
              <w:adjustRightInd w:val="0"/>
              <w:ind w:firstLine="480" w:firstLineChars="200"/>
              <w:rPr>
                <w:rFonts w:ascii="仿宋" w:eastAsia="仿宋" w:cs="仿宋"/>
                <w:color w:val="000000"/>
                <w:sz w:val="24"/>
                <w:lang w:val="zh-CN"/>
              </w:rPr>
            </w:pPr>
            <w:r>
              <w:rPr>
                <w:rFonts w:hint="eastAsia" w:ascii="仿宋" w:eastAsia="仿宋" w:cs="仿宋"/>
                <w:color w:val="000000"/>
                <w:sz w:val="24"/>
                <w:lang w:val="zh-CN"/>
              </w:rPr>
              <w:t>基础分为</w:t>
            </w:r>
            <w:r>
              <w:rPr>
                <w:rFonts w:hint="eastAsia" w:ascii="仿宋" w:eastAsia="仿宋" w:cs="仿宋"/>
                <w:color w:val="000000"/>
                <w:sz w:val="24"/>
              </w:rPr>
              <w:t>25</w:t>
            </w:r>
            <w:r>
              <w:rPr>
                <w:rFonts w:hint="eastAsia" w:ascii="仿宋" w:eastAsia="仿宋" w:cs="仿宋"/>
                <w:color w:val="000000"/>
                <w:sz w:val="24"/>
                <w:lang w:val="zh-CN"/>
              </w:rPr>
              <w:t>分。</w:t>
            </w:r>
          </w:p>
          <w:p>
            <w:pPr>
              <w:widowControl/>
              <w:adjustRightInd w:val="0"/>
              <w:spacing w:line="400" w:lineRule="exact"/>
              <w:ind w:firstLine="48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Fonts w:hint="eastAsia" w:ascii="仿宋" w:eastAsia="仿宋" w:cs="仿宋"/>
                <w:color w:val="000000"/>
                <w:sz w:val="24"/>
                <w:lang w:val="zh-CN"/>
              </w:rPr>
              <w:t>每出现</w:t>
            </w:r>
            <w:r>
              <w:rPr>
                <w:rFonts w:ascii="仿宋" w:eastAsia="仿宋" w:cs="仿宋"/>
                <w:color w:val="000000"/>
                <w:sz w:val="24"/>
                <w:lang w:val="zh-CN"/>
              </w:rPr>
              <w:t>1</w:t>
            </w:r>
            <w:r>
              <w:rPr>
                <w:rFonts w:hint="eastAsia" w:ascii="仿宋" w:eastAsia="仿宋" w:cs="仿宋"/>
                <w:color w:val="000000"/>
                <w:sz w:val="24"/>
                <w:lang w:val="zh-CN"/>
              </w:rPr>
              <w:t>条负偏离，扣除基础分</w:t>
            </w:r>
            <w:r>
              <w:rPr>
                <w:rFonts w:ascii="仿宋" w:eastAsia="仿宋" w:cs="仿宋"/>
                <w:color w:val="000000"/>
                <w:sz w:val="24"/>
              </w:rPr>
              <w:t>3</w:t>
            </w:r>
            <w:r>
              <w:rPr>
                <w:rFonts w:hint="eastAsia" w:ascii="仿宋" w:eastAsia="仿宋" w:cs="仿宋"/>
                <w:color w:val="000000"/>
                <w:sz w:val="24"/>
                <w:lang w:val="zh-CN"/>
              </w:rPr>
              <w:t>分，出现</w:t>
            </w:r>
            <w:r>
              <w:rPr>
                <w:rFonts w:hint="eastAsia" w:ascii="仿宋" w:eastAsia="仿宋" w:cs="仿宋"/>
                <w:color w:val="000000"/>
                <w:sz w:val="24"/>
              </w:rPr>
              <w:t>4</w:t>
            </w:r>
            <w:r>
              <w:rPr>
                <w:rFonts w:hint="eastAsia" w:ascii="仿宋" w:eastAsia="仿宋" w:cs="仿宋"/>
                <w:color w:val="000000"/>
                <w:sz w:val="24"/>
                <w:lang w:val="zh-CN"/>
              </w:rPr>
              <w:t>条及以上负偏离的，响应情况项不得分。</w:t>
            </w:r>
          </w:p>
        </w:tc>
        <w:tc>
          <w:tcPr>
            <w:tcW w:w="771" w:type="dxa"/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25分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2" w:hRule="atLeast"/>
          <w:jc w:val="center"/>
        </w:trPr>
        <w:tc>
          <w:tcPr>
            <w:tcW w:w="717" w:type="dxa"/>
            <w:vMerge w:val="continue"/>
            <w:noWrap w:val="0"/>
            <w:vAlign w:val="top"/>
          </w:tcPr>
          <w:p>
            <w:pPr>
              <w:pStyle w:val="4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310" w:type="dxa"/>
            <w:vMerge w:val="continue"/>
            <w:noWrap w:val="0"/>
            <w:vAlign w:val="top"/>
          </w:tcPr>
          <w:p>
            <w:pPr>
              <w:pStyle w:val="4"/>
              <w:spacing w:line="307" w:lineRule="auto"/>
              <w:ind w:left="395" w:right="144" w:hanging="240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pStyle w:val="4"/>
              <w:spacing w:line="400" w:lineRule="atLeast"/>
              <w:ind w:left="107" w:right="97"/>
              <w:jc w:val="center"/>
              <w:rPr>
                <w:rFonts w:eastAsia="仿宋"/>
                <w:sz w:val="24"/>
                <w:lang w:val="zh-CN"/>
              </w:rPr>
            </w:pPr>
            <w:r>
              <w:rPr>
                <w:rFonts w:hint="eastAsia" w:eastAsia="仿宋"/>
                <w:color w:val="000000"/>
                <w:sz w:val="24"/>
              </w:rPr>
              <w:t>对服务需求的理解</w:t>
            </w:r>
          </w:p>
        </w:tc>
        <w:tc>
          <w:tcPr>
            <w:tcW w:w="5336" w:type="dxa"/>
            <w:noWrap w:val="0"/>
            <w:vAlign w:val="top"/>
          </w:tcPr>
          <w:p>
            <w:pPr>
              <w:pStyle w:val="4"/>
              <w:spacing w:before="89" w:line="308" w:lineRule="auto"/>
              <w:ind w:left="108" w:right="130" w:firstLine="480" w:firstLineChars="200"/>
              <w:rPr>
                <w:rStyle w:val="5"/>
                <w:rFonts w:cs="仿宋"/>
                <w:sz w:val="24"/>
                <w:lang w:val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供应商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>结合自身对项目的认知及本项目招标需求，对项目建设背景、建设现状、建设目标、建设需求等内容进行分析。理解全面、深刻、有针对性，得10分；</w:t>
            </w:r>
            <w:r>
              <w:rPr>
                <w:rFonts w:hint="eastAsia" w:eastAsia="仿宋"/>
                <w:color w:val="000000"/>
                <w:sz w:val="24"/>
              </w:rPr>
              <w:t>对服务需求的理解</w:t>
            </w:r>
            <w:r>
              <w:rPr>
                <w:rFonts w:hint="eastAsia" w:ascii="仿宋" w:hAnsi="仿宋" w:eastAsia="仿宋"/>
                <w:color w:val="000000"/>
                <w:sz w:val="24"/>
              </w:rPr>
              <w:t>有瑕疵，得7分；理解分析有严重缺陷，得4分；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未提供者不得分。</w:t>
            </w:r>
          </w:p>
        </w:tc>
        <w:tc>
          <w:tcPr>
            <w:tcW w:w="771" w:type="dxa"/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10分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45" w:hRule="atLeast"/>
          <w:jc w:val="center"/>
        </w:trPr>
        <w:tc>
          <w:tcPr>
            <w:tcW w:w="717" w:type="dxa"/>
            <w:vMerge w:val="continue"/>
            <w:noWrap w:val="0"/>
            <w:vAlign w:val="top"/>
          </w:tcPr>
          <w:p>
            <w:pPr>
              <w:pStyle w:val="4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310" w:type="dxa"/>
            <w:vMerge w:val="continue"/>
            <w:noWrap w:val="0"/>
            <w:vAlign w:val="top"/>
          </w:tcPr>
          <w:p>
            <w:pPr>
              <w:pStyle w:val="4"/>
              <w:spacing w:line="307" w:lineRule="auto"/>
              <w:ind w:left="395" w:right="144" w:hanging="240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pStyle w:val="4"/>
              <w:spacing w:line="400" w:lineRule="atLeast"/>
              <w:ind w:left="107" w:right="97"/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eastAsia="仿宋"/>
                <w:sz w:val="24"/>
                <w:lang w:val="zh-CN"/>
              </w:rPr>
              <w:t>服务方案</w:t>
            </w:r>
          </w:p>
        </w:tc>
        <w:tc>
          <w:tcPr>
            <w:tcW w:w="5336" w:type="dxa"/>
            <w:noWrap w:val="0"/>
            <w:vAlign w:val="top"/>
          </w:tcPr>
          <w:p>
            <w:pPr>
              <w:pStyle w:val="4"/>
              <w:spacing w:before="89" w:line="308" w:lineRule="auto"/>
              <w:ind w:left="108" w:right="130" w:firstLine="480" w:firstLineChars="200"/>
              <w:rPr>
                <w:rFonts w:ascii="仿宋_GB2312" w:hAnsi="仿宋_GB2312" w:eastAsia="仿宋_GB2312" w:cs="仿宋_GB2312"/>
                <w:spacing w:val="-31"/>
                <w:sz w:val="24"/>
              </w:rPr>
            </w:pPr>
            <w:r>
              <w:rPr>
                <w:rStyle w:val="5"/>
                <w:rFonts w:hint="eastAsia" w:cs="仿宋"/>
                <w:sz w:val="24"/>
                <w:lang w:val="zh-CN"/>
              </w:rPr>
              <w:t>对项目内容深刻理解，服务整体实施方案明确、实施流程方案细致、时间安排合理、计划周全、有详细的可行性服务方案得</w:t>
            </w:r>
            <w:r>
              <w:rPr>
                <w:rStyle w:val="5"/>
                <w:rFonts w:hint="eastAsia" w:cs="仿宋"/>
                <w:sz w:val="24"/>
              </w:rPr>
              <w:t>20</w:t>
            </w:r>
            <w:r>
              <w:rPr>
                <w:rStyle w:val="5"/>
                <w:rFonts w:hint="eastAsia" w:cs="仿宋"/>
                <w:sz w:val="24"/>
                <w:lang w:val="zh-CN"/>
              </w:rPr>
              <w:t>分；对项目内容理解，服务整体实施方案较为明确、工作流程方案较为细致、时间安排较为合理、工作计划较为周全、有较为详细的可行性服务方案得</w:t>
            </w:r>
            <w:r>
              <w:rPr>
                <w:rStyle w:val="5"/>
                <w:rFonts w:hint="eastAsia" w:cs="仿宋"/>
                <w:sz w:val="24"/>
              </w:rPr>
              <w:t>15</w:t>
            </w:r>
            <w:r>
              <w:rPr>
                <w:rStyle w:val="5"/>
                <w:rFonts w:hint="eastAsia" w:cs="仿宋"/>
                <w:sz w:val="24"/>
                <w:lang w:val="zh-CN"/>
              </w:rPr>
              <w:t>分；提供项目方案有严重缺漏得10分；提供项目方案不可行得5分；</w:t>
            </w:r>
            <w:r>
              <w:rPr>
                <w:rFonts w:hint="eastAsia" w:ascii="仿宋" w:hAnsi="仿宋" w:eastAsia="仿宋" w:cs="仿宋"/>
                <w:sz w:val="24"/>
              </w:rPr>
              <w:t>未提供者不得分。</w:t>
            </w:r>
          </w:p>
        </w:tc>
        <w:tc>
          <w:tcPr>
            <w:tcW w:w="771" w:type="dxa"/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20</w:t>
            </w:r>
            <w:r>
              <w:rPr>
                <w:rFonts w:hint="eastAsia" w:ascii="仿宋" w:hAnsi="仿宋" w:eastAsia="仿宋" w:cs="仿宋"/>
                <w:sz w:val="24"/>
                <w:lang w:val="zh-CN"/>
              </w:rPr>
              <w:t>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58" w:hRule="atLeast"/>
          <w:jc w:val="center"/>
        </w:trPr>
        <w:tc>
          <w:tcPr>
            <w:tcW w:w="717" w:type="dxa"/>
            <w:vMerge w:val="continue"/>
            <w:noWrap w:val="0"/>
            <w:vAlign w:val="top"/>
          </w:tcPr>
          <w:p>
            <w:pPr>
              <w:pStyle w:val="4"/>
              <w:ind w:left="6"/>
              <w:jc w:val="center"/>
              <w:rPr>
                <w:rFonts w:ascii="仿宋"/>
                <w:spacing w:val="-10"/>
                <w:sz w:val="24"/>
              </w:rPr>
            </w:pPr>
          </w:p>
        </w:tc>
        <w:tc>
          <w:tcPr>
            <w:tcW w:w="1310" w:type="dxa"/>
            <w:vMerge w:val="continue"/>
            <w:noWrap w:val="0"/>
            <w:vAlign w:val="top"/>
          </w:tcPr>
          <w:p>
            <w:pPr>
              <w:pStyle w:val="4"/>
              <w:spacing w:line="307" w:lineRule="auto"/>
              <w:ind w:left="395" w:right="144" w:hanging="240"/>
              <w:rPr>
                <w:rFonts w:ascii="黑体" w:eastAsia="黑体"/>
                <w:spacing w:val="-4"/>
                <w:sz w:val="24"/>
              </w:rPr>
            </w:pPr>
          </w:p>
        </w:tc>
        <w:tc>
          <w:tcPr>
            <w:tcW w:w="1324" w:type="dxa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团队配备</w:t>
            </w:r>
          </w:p>
          <w:p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合理性</w:t>
            </w:r>
          </w:p>
        </w:tc>
        <w:tc>
          <w:tcPr>
            <w:tcW w:w="5336" w:type="dxa"/>
            <w:noWrap w:val="0"/>
            <w:vAlign w:val="top"/>
          </w:tcPr>
          <w:p>
            <w:pPr>
              <w:pStyle w:val="4"/>
              <w:spacing w:before="89" w:line="308" w:lineRule="auto"/>
              <w:ind w:left="108" w:right="130" w:firstLine="480" w:firstLineChars="200"/>
              <w:rPr>
                <w:rFonts w:ascii="仿宋" w:hAnsi="仿宋" w:eastAsia="仿宋" w:cs="仿宋"/>
                <w:spacing w:val="0"/>
                <w:kern w:val="1"/>
                <w:sz w:val="24"/>
              </w:rPr>
            </w:pPr>
            <w:r>
              <w:rPr>
                <w:rStyle w:val="5"/>
                <w:rFonts w:hint="eastAsia" w:cs="仿宋"/>
                <w:sz w:val="24"/>
              </w:rPr>
              <w:t>团队结构合理、分工明确、负责人经验丰富，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组织管理措施得当，对团队人员的稳定性的保证措施得当，</w:t>
            </w:r>
            <w:r>
              <w:rPr>
                <w:rFonts w:hint="eastAsia" w:ascii="仿宋" w:hAnsi="仿宋" w:eastAsia="仿宋" w:cs="仿宋"/>
                <w:color w:val="FF0000"/>
                <w:sz w:val="24"/>
              </w:rPr>
              <w:t>项目团队人员配置合理，具备政策服务、活动执行、视频制作等相关经验的，</w:t>
            </w:r>
            <w:r>
              <w:rPr>
                <w:rStyle w:val="5"/>
                <w:rFonts w:hint="eastAsia" w:cs="仿宋"/>
                <w:sz w:val="24"/>
              </w:rPr>
              <w:t>得10分；团队基本满足要求，得6分；团队配置薄弱，得3分。</w:t>
            </w:r>
          </w:p>
        </w:tc>
        <w:tc>
          <w:tcPr>
            <w:tcW w:w="771" w:type="dxa"/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/>
                <w:spacing w:val="-5"/>
                <w:sz w:val="24"/>
              </w:rPr>
            </w:pPr>
            <w:r>
              <w:rPr>
                <w:rFonts w:hint="eastAsia" w:ascii="仿宋"/>
                <w:spacing w:val="-5"/>
                <w:sz w:val="24"/>
              </w:rPr>
              <w:t>10分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22" w:hRule="atLeast"/>
          <w:jc w:val="center"/>
        </w:trPr>
        <w:tc>
          <w:tcPr>
            <w:tcW w:w="717" w:type="dxa"/>
            <w:vMerge w:val="continue"/>
            <w:tcBorders>
              <w:bottom w:val="single" w:color="auto" w:sz="4" w:space="0"/>
            </w:tcBorders>
            <w:noWrap w:val="0"/>
            <w:vAlign w:val="top"/>
          </w:tcPr>
          <w:p>
            <w:pPr>
              <w:pStyle w:val="4"/>
              <w:ind w:left="6"/>
              <w:jc w:val="center"/>
              <w:rPr>
                <w:rFonts w:ascii="仿宋"/>
                <w:sz w:val="24"/>
              </w:rPr>
            </w:pPr>
          </w:p>
        </w:tc>
        <w:tc>
          <w:tcPr>
            <w:tcW w:w="1310" w:type="dxa"/>
            <w:vMerge w:val="continue"/>
            <w:tcBorders>
              <w:bottom w:val="single" w:color="auto" w:sz="4" w:space="0"/>
            </w:tcBorders>
            <w:noWrap w:val="0"/>
            <w:vAlign w:val="top"/>
          </w:tcPr>
          <w:p>
            <w:pPr>
              <w:pStyle w:val="4"/>
              <w:spacing w:line="307" w:lineRule="auto"/>
              <w:ind w:left="395" w:right="144" w:hanging="240"/>
              <w:rPr>
                <w:rFonts w:ascii="黑体" w:eastAsia="黑体"/>
                <w:sz w:val="24"/>
              </w:rPr>
            </w:pPr>
          </w:p>
        </w:tc>
        <w:tc>
          <w:tcPr>
            <w:tcW w:w="1324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4"/>
              <w:spacing w:line="400" w:lineRule="atLeast"/>
              <w:ind w:left="107" w:right="97"/>
              <w:jc w:val="center"/>
              <w:rPr>
                <w:color w:val="FF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sz w:val="24"/>
              </w:rPr>
              <w:t>服务定位</w:t>
            </w:r>
          </w:p>
        </w:tc>
        <w:tc>
          <w:tcPr>
            <w:tcW w:w="5336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widowControl/>
              <w:adjustRightInd w:val="0"/>
              <w:spacing w:line="360" w:lineRule="auto"/>
              <w:ind w:firstLine="480" w:firstLineChars="200"/>
              <w:rPr>
                <w:rStyle w:val="5"/>
                <w:rFonts w:cs="仿宋"/>
                <w:color w:val="FF0000"/>
                <w:sz w:val="24"/>
              </w:rPr>
            </w:pPr>
            <w:r>
              <w:rPr>
                <w:rFonts w:ascii="仿宋" w:hAnsi="仿宋" w:eastAsia="仿宋" w:cs="仿宋"/>
                <w:color w:val="000000"/>
                <w:sz w:val="24"/>
              </w:rPr>
              <w:t>从服务好项目角度出发进行综合评分，整体统筹规划、认识深刻、定位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合理</w:t>
            </w:r>
            <w:r>
              <w:rPr>
                <w:rFonts w:ascii="仿宋" w:hAnsi="仿宋" w:eastAsia="仿宋" w:cs="仿宋"/>
                <w:color w:val="000000"/>
                <w:sz w:val="24"/>
              </w:rPr>
              <w:t>的，得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10</w:t>
            </w:r>
            <w:r>
              <w:rPr>
                <w:rFonts w:ascii="仿宋" w:hAnsi="仿宋" w:eastAsia="仿宋" w:cs="仿宋"/>
                <w:color w:val="000000"/>
                <w:sz w:val="24"/>
              </w:rPr>
              <w:t>分；从服务好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项目</w:t>
            </w:r>
            <w:r>
              <w:rPr>
                <w:rFonts w:ascii="仿宋" w:hAnsi="仿宋" w:eastAsia="仿宋" w:cs="仿宋"/>
                <w:color w:val="000000"/>
                <w:sz w:val="24"/>
              </w:rPr>
              <w:t>角度出发对项目的整体统筹规划、认识、定位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略有瑕疵的</w:t>
            </w:r>
            <w:r>
              <w:rPr>
                <w:rFonts w:ascii="仿宋" w:hAnsi="仿宋" w:eastAsia="仿宋" w:cs="仿宋"/>
                <w:color w:val="000000"/>
                <w:sz w:val="24"/>
              </w:rPr>
              <w:t>，得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6</w:t>
            </w:r>
            <w:r>
              <w:rPr>
                <w:rFonts w:ascii="仿宋" w:hAnsi="仿宋" w:eastAsia="仿宋" w:cs="仿宋"/>
                <w:color w:val="000000"/>
                <w:sz w:val="24"/>
              </w:rPr>
              <w:t>分；整体统筹规划、认识、定位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有缺漏，但具有一定可行性的，</w:t>
            </w:r>
            <w:r>
              <w:rPr>
                <w:rFonts w:ascii="仿宋" w:hAnsi="仿宋" w:eastAsia="仿宋" w:cs="仿宋"/>
                <w:color w:val="000000"/>
                <w:sz w:val="24"/>
              </w:rPr>
              <w:t>得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3</w:t>
            </w:r>
            <w:r>
              <w:rPr>
                <w:rFonts w:ascii="仿宋" w:hAnsi="仿宋" w:eastAsia="仿宋" w:cs="仿宋"/>
                <w:color w:val="000000"/>
                <w:sz w:val="24"/>
              </w:rPr>
              <w:t>分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，</w:t>
            </w:r>
            <w:r>
              <w:rPr>
                <w:rFonts w:ascii="仿宋" w:hAnsi="仿宋" w:eastAsia="仿宋" w:cs="仿宋"/>
                <w:color w:val="000000"/>
                <w:sz w:val="24"/>
              </w:rPr>
              <w:t>整体统筹规划</w:t>
            </w:r>
            <w:r>
              <w:rPr>
                <w:rFonts w:hint="eastAsia" w:ascii="仿宋" w:hAnsi="仿宋" w:eastAsia="仿宋" w:cs="仿宋"/>
                <w:color w:val="000000"/>
                <w:sz w:val="24"/>
              </w:rPr>
              <w:t>不详细、不通顺、可行性欠缺的得1分；</w:t>
            </w:r>
            <w:r>
              <w:rPr>
                <w:rFonts w:ascii="仿宋" w:hAnsi="仿宋" w:eastAsia="仿宋" w:cs="仿宋"/>
                <w:color w:val="000000"/>
                <w:sz w:val="24"/>
              </w:rPr>
              <w:t>未提供不得分。</w:t>
            </w:r>
          </w:p>
        </w:tc>
        <w:tc>
          <w:tcPr>
            <w:tcW w:w="771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pStyle w:val="4"/>
              <w:ind w:left="6"/>
              <w:jc w:val="center"/>
              <w:rPr>
                <w:rFonts w:ascii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10分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868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jc w:val="center"/>
              <w:rPr>
                <w:sz w:val="24"/>
              </w:rPr>
            </w:pPr>
            <w:r>
              <w:rPr>
                <w:rFonts w:ascii="仿宋" w:eastAsia="仿宋"/>
                <w:spacing w:val="-10"/>
                <w:sz w:val="24"/>
              </w:rPr>
              <w:t>总</w:t>
            </w:r>
            <w:r>
              <w:rPr>
                <w:rFonts w:hint="eastAsia" w:ascii="仿宋" w:eastAsia="仿宋"/>
                <w:spacing w:val="-10"/>
                <w:sz w:val="24"/>
              </w:rPr>
              <w:t>分</w:t>
            </w:r>
          </w:p>
        </w:tc>
        <w:tc>
          <w:tcPr>
            <w:tcW w:w="77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pStyle w:val="4"/>
              <w:spacing w:before="76" w:line="304" w:lineRule="exact"/>
              <w:ind w:left="6"/>
              <w:jc w:val="center"/>
              <w:rPr>
                <w:rFonts w:ascii="仿宋"/>
                <w:sz w:val="24"/>
              </w:rPr>
            </w:pPr>
          </w:p>
        </w:tc>
      </w:tr>
    </w:tbl>
    <w:p/>
    <w:p>
      <w:pPr>
        <w:spacing w:line="560" w:lineRule="exact"/>
        <w:rPr>
          <w:rFonts w:ascii="黑体" w:hAnsi="黑体" w:eastAsia="黑体" w:cs="黑体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207353"/>
    <w:rsid w:val="2720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Table Paragraph"/>
    <w:basedOn w:val="1"/>
    <w:qFormat/>
    <w:uiPriority w:val="1"/>
  </w:style>
  <w:style w:type="character" w:customStyle="1" w:styleId="5">
    <w:name w:val="样式 仿宋"/>
    <w:qFormat/>
    <w:uiPriority w:val="0"/>
    <w:rPr>
      <w:rFonts w:ascii="仿宋" w:hAnsi="仿宋" w:eastAsia="仿宋"/>
      <w:kern w:val="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Office_11.8.2.11716_F1E327BC-269C-435d-A152-05C5408002CA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2026-03-17T09:07:00Z</dcterms:created>
  <dc:creator>ZXD</dc:creator>
  <cp:lastModifiedBy>ZXD</cp:lastModifiedBy>
  <dcterms:modified xsi:type="dcterms:W3CDTF">2026-03-17T09:08:22Z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2052-11.8.2.11716</vt:lpwstr>
  </property>
  <property fmtid="{D5CDD505-2E9C-101B-9397-08002B2CF9AE}" pid="3" name="ICV">
    <vt:lpwstr>DF3EB8EFD88D4EBFAA5566EF3F48BA71</vt:lpwstr>
  </property>
</Properties>
</file>