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pStyle w:val="39"/>
        <w:spacing w:line="560" w:lineRule="exact"/>
        <w:textAlignment w:val="baseline"/>
        <w:rPr>
          <w:rFonts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</w:rPr>
        <w:t>青岛市中小企业服务机构赴杭州市开展对标</w:t>
      </w:r>
    </w:p>
    <w:p>
      <w:pPr>
        <w:pStyle w:val="39"/>
        <w:spacing w:line="560" w:lineRule="exact"/>
        <w:textAlignment w:val="baseline"/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</w:rPr>
        <w:t>学习交流活动项目采购</w:t>
      </w: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  <w:lang w:eastAsia="zh-CN"/>
        </w:rPr>
        <w:t>评分标准</w:t>
      </w:r>
    </w:p>
    <w:p>
      <w:pPr>
        <w:pStyle w:val="39"/>
        <w:spacing w:line="300" w:lineRule="exact"/>
        <w:jc w:val="both"/>
        <w:textAlignment w:val="baseline"/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tbl>
      <w:tblPr>
        <w:tblStyle w:val="21"/>
        <w:tblW w:w="903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1494"/>
        <w:gridCol w:w="1130"/>
        <w:gridCol w:w="4079"/>
        <w:gridCol w:w="656"/>
        <w:gridCol w:w="91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762" w:type="dxa"/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bookmarkStart w:id="1" w:name="_GoBack"/>
            <w:bookmarkEnd w:id="1"/>
            <w:bookmarkStart w:id="0" w:name="_Hlk174086990"/>
            <w:r>
              <w:rPr>
                <w:rFonts w:hint="eastAsia" w:ascii="仿宋_GB2312" w:hAnsi="仿宋" w:cs="仿宋_GB2312"/>
              </w:rPr>
              <w:t>序号</w:t>
            </w:r>
          </w:p>
        </w:tc>
        <w:tc>
          <w:tcPr>
            <w:tcW w:w="1494" w:type="dxa"/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r>
              <w:rPr>
                <w:rFonts w:hint="eastAsia" w:ascii="仿宋_GB2312" w:hAnsi="仿宋" w:cs="仿宋_GB2312"/>
              </w:rPr>
              <w:t>评审内容</w:t>
            </w:r>
          </w:p>
        </w:tc>
        <w:tc>
          <w:tcPr>
            <w:tcW w:w="1130" w:type="dxa"/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r>
              <w:rPr>
                <w:rFonts w:hint="eastAsia" w:ascii="仿宋_GB2312" w:hAnsi="仿宋" w:cs="仿宋_GB2312"/>
              </w:rPr>
              <w:t>具体指标</w:t>
            </w:r>
          </w:p>
        </w:tc>
        <w:tc>
          <w:tcPr>
            <w:tcW w:w="4079" w:type="dxa"/>
            <w:tcBorders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r>
              <w:rPr>
                <w:rFonts w:hint="eastAsia" w:ascii="仿宋_GB2312" w:hAnsi="仿宋" w:cs="仿宋_GB2312"/>
              </w:rPr>
              <w:t>评分参考标准</w:t>
            </w:r>
          </w:p>
        </w:tc>
        <w:tc>
          <w:tcPr>
            <w:tcW w:w="656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r>
              <w:rPr>
                <w:rFonts w:hint="eastAsia" w:ascii="仿宋_GB2312" w:hAnsi="仿宋" w:cs="仿宋_GB2312"/>
              </w:rPr>
              <w:t>分值</w:t>
            </w:r>
          </w:p>
        </w:tc>
        <w:tc>
          <w:tcPr>
            <w:tcW w:w="911" w:type="dxa"/>
            <w:tcBorders>
              <w:lef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_GB2312" w:hAnsi="仿宋"/>
              </w:rPr>
            </w:pPr>
            <w:r>
              <w:rPr>
                <w:rFonts w:hint="eastAsia" w:ascii="仿宋_GB2312" w:hAnsi="仿宋" w:cs="仿宋_GB2312"/>
              </w:rPr>
              <w:t>得分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restart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1494" w:type="dxa"/>
            <w:vMerge w:val="restart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商务部分</w:t>
            </w:r>
          </w:p>
          <w:p>
            <w:pPr>
              <w:pStyle w:val="2"/>
              <w:spacing w:line="380" w:lineRule="exact"/>
              <w:ind w:firstLine="0" w:firstLineChars="0"/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  <w:lang w:val="en-US" w:eastAsia="zh-CN"/>
              </w:rPr>
              <w:t>25</w:t>
            </w:r>
            <w:r>
              <w:rPr>
                <w:rFonts w:hint="eastAsia"/>
              </w:rPr>
              <w:t>分）</w:t>
            </w:r>
          </w:p>
        </w:tc>
        <w:tc>
          <w:tcPr>
            <w:tcW w:w="113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投标报价</w:t>
            </w:r>
          </w:p>
        </w:tc>
        <w:tc>
          <w:tcPr>
            <w:tcW w:w="4079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投标基准价：满足评审文件要求且报价最低的意向承接主体的价格为投标基准价，其价格分为满分（</w:t>
            </w:r>
            <w:r>
              <w:rPr>
                <w:rFonts w:ascii="仿宋_GB2312" w:hAnsi="仿宋" w:cs="仿宋_GB2312"/>
              </w:rPr>
              <w:t>1</w:t>
            </w:r>
            <w:r>
              <w:rPr>
                <w:rFonts w:hint="eastAsia" w:ascii="仿宋_GB2312" w:hAnsi="仿宋" w:cs="仿宋_GB2312"/>
              </w:rPr>
              <w:t>0</w:t>
            </w:r>
            <w:r>
              <w:rPr>
                <w:rFonts w:ascii="仿宋_GB2312" w:hAnsi="仿宋" w:cs="仿宋_GB2312"/>
              </w:rPr>
              <w:t>分）</w:t>
            </w:r>
            <w:r>
              <w:rPr>
                <w:rFonts w:hint="eastAsia" w:ascii="仿宋_GB2312" w:hAnsi="仿宋" w:cs="仿宋_GB2312"/>
              </w:rPr>
              <w:t>。</w:t>
            </w:r>
          </w:p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其他意向承接主体投标报价得分</w:t>
            </w:r>
            <w:r>
              <w:rPr>
                <w:rFonts w:ascii="仿宋_GB2312" w:hAnsi="仿宋" w:cs="仿宋_GB2312"/>
              </w:rPr>
              <w:t>=（</w:t>
            </w:r>
            <w:r>
              <w:rPr>
                <w:rFonts w:hint="eastAsia" w:ascii="仿宋_GB2312" w:hAnsi="仿宋" w:cs="仿宋_GB2312"/>
              </w:rPr>
              <w:t>投标</w:t>
            </w:r>
            <w:r>
              <w:rPr>
                <w:rFonts w:ascii="仿宋_GB2312" w:hAnsi="仿宋" w:cs="仿宋_GB2312"/>
              </w:rPr>
              <w:t>基准价/最后</w:t>
            </w:r>
            <w:r>
              <w:rPr>
                <w:rFonts w:hint="eastAsia" w:ascii="仿宋_GB2312" w:hAnsi="仿宋" w:cs="仿宋_GB2312"/>
              </w:rPr>
              <w:t>投标</w:t>
            </w:r>
            <w:r>
              <w:rPr>
                <w:rFonts w:ascii="仿宋_GB2312" w:hAnsi="仿宋" w:cs="仿宋_GB2312"/>
              </w:rPr>
              <w:t>报价）×1</w:t>
            </w:r>
            <w:r>
              <w:rPr>
                <w:rFonts w:hint="eastAsia" w:ascii="仿宋_GB2312" w:hAnsi="仿宋" w:cs="仿宋_GB2312"/>
              </w:rPr>
              <w:t>0</w:t>
            </w:r>
            <w:r>
              <w:rPr>
                <w:rFonts w:ascii="仿宋_GB2312" w:hAnsi="仿宋" w:cs="仿宋_GB2312"/>
              </w:rPr>
              <w:t>（报价得分小数点后保留两位）</w:t>
            </w:r>
            <w:r>
              <w:rPr>
                <w:rFonts w:hint="eastAsia" w:ascii="仿宋_GB2312" w:hAnsi="仿宋" w:cs="仿宋_GB2312"/>
              </w:rPr>
              <w:t>。</w:t>
            </w:r>
            <w:r>
              <w:rPr>
                <w:rStyle w:val="23"/>
                <w:rFonts w:hint="eastAsia" w:ascii="仿宋_GB2312" w:cs="仿宋_GB2312"/>
              </w:rPr>
              <w:t>供应商报价高于项目预算无效。</w:t>
            </w:r>
          </w:p>
        </w:tc>
        <w:tc>
          <w:tcPr>
            <w:tcW w:w="65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ascii="仿宋" w:hAnsi="仿宋" w:eastAsia="仿宋"/>
                <w:sz w:val="28"/>
                <w:szCs w:val="28"/>
              </w:rPr>
              <w:t>0</w:t>
            </w:r>
          </w:p>
        </w:tc>
        <w:tc>
          <w:tcPr>
            <w:tcW w:w="911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continue"/>
            <w:vAlign w:val="center"/>
          </w:tcPr>
          <w:p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企业业绩</w:t>
            </w:r>
          </w:p>
        </w:tc>
        <w:tc>
          <w:tcPr>
            <w:tcW w:w="407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自2023年1月1日至今（近三年）已承接同类项目的，每份得3分</w:t>
            </w:r>
            <w:r>
              <w:rPr>
                <w:rFonts w:hint="eastAsia" w:ascii="仿宋_GB2312" w:hAnsi="仿宋" w:cs="仿宋_GB2312"/>
                <w:lang w:eastAsia="zh-CN"/>
              </w:rPr>
              <w:t>，</w:t>
            </w:r>
            <w:r>
              <w:rPr>
                <w:rFonts w:hint="eastAsia" w:ascii="仿宋_GB2312" w:hAnsi="仿宋" w:cs="仿宋_GB2312"/>
              </w:rPr>
              <w:t>满分15分。</w:t>
            </w:r>
          </w:p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须提供同类项目的合同原件或加盖公章复印件，证明材料缺项或未提供的不得分。业绩时间以同类项目合同中标注的时间为准。</w:t>
            </w:r>
          </w:p>
        </w:tc>
        <w:tc>
          <w:tcPr>
            <w:tcW w:w="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15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restart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1494" w:type="dxa"/>
            <w:vMerge w:val="restart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技术部分</w:t>
            </w:r>
          </w:p>
          <w:p>
            <w:pPr>
              <w:pStyle w:val="2"/>
              <w:spacing w:line="380" w:lineRule="exact"/>
              <w:ind w:firstLine="0"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5分）</w:t>
            </w:r>
          </w:p>
          <w:p>
            <w:pPr>
              <w:pStyle w:val="2"/>
              <w:spacing w:line="380" w:lineRule="exact"/>
              <w:ind w:firstLine="0" w:firstLineChars="0"/>
              <w:jc w:val="center"/>
            </w:pPr>
          </w:p>
        </w:tc>
        <w:tc>
          <w:tcPr>
            <w:tcW w:w="1130" w:type="dxa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  <w:color w:val="FF0000"/>
              </w:rPr>
            </w:pPr>
            <w:r>
              <w:rPr>
                <w:rFonts w:hint="eastAsia" w:ascii="仿宋_GB2312" w:hAnsi="仿宋" w:cs="仿宋_GB2312"/>
                <w:color w:val="auto"/>
              </w:rPr>
              <w:t>服务方案</w:t>
            </w:r>
          </w:p>
        </w:tc>
        <w:tc>
          <w:tcPr>
            <w:tcW w:w="4079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  <w:highlight w:val="none"/>
              </w:rPr>
              <w:t>对</w:t>
            </w:r>
            <w:r>
              <w:rPr>
                <w:rFonts w:hint="eastAsia" w:ascii="仿宋_GB2312" w:hAnsi="仿宋" w:cs="仿宋_GB2312"/>
                <w:highlight w:val="none"/>
                <w:lang w:eastAsia="zh-CN"/>
              </w:rPr>
              <w:t>活动项目</w:t>
            </w:r>
            <w:r>
              <w:rPr>
                <w:rFonts w:hint="eastAsia" w:ascii="仿宋_GB2312" w:hAnsi="仿宋" w:cs="仿宋_GB2312"/>
                <w:highlight w:val="none"/>
              </w:rPr>
              <w:t>内容深刻理解，服务整体实施方案明确、实施流程方案细致、时间安排合理、计划周全、有详细的可行性服务方案得20分；对</w:t>
            </w:r>
            <w:r>
              <w:rPr>
                <w:rFonts w:hint="eastAsia" w:ascii="仿宋_GB2312" w:hAnsi="仿宋" w:cs="仿宋_GB2312"/>
                <w:highlight w:val="none"/>
                <w:lang w:eastAsia="zh-CN"/>
              </w:rPr>
              <w:t>活动</w:t>
            </w:r>
            <w:r>
              <w:rPr>
                <w:rFonts w:hint="eastAsia" w:ascii="仿宋_GB2312" w:hAnsi="仿宋" w:cs="仿宋_GB2312"/>
                <w:highlight w:val="none"/>
              </w:rPr>
              <w:t>项目内容理解，服务整体实施方案较为明确、工作流程方案较为细致、时间安排较为合理、工作计划较为周全、有较为详细的可行性服务方案得15分；提供项目方案有严重缺漏得10分；提供项目方案不可行得5分；未提供者不得分。</w:t>
            </w:r>
          </w:p>
        </w:tc>
        <w:tc>
          <w:tcPr>
            <w:tcW w:w="65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20</w:t>
            </w:r>
          </w:p>
        </w:tc>
        <w:tc>
          <w:tcPr>
            <w:tcW w:w="911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服务定位</w:t>
            </w:r>
          </w:p>
        </w:tc>
        <w:tc>
          <w:tcPr>
            <w:tcW w:w="4079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仿宋" w:cs="仿宋_GB2312"/>
              </w:rPr>
            </w:pPr>
            <w:r>
              <w:rPr>
                <w:rFonts w:ascii="仿宋_GB2312" w:hAnsi="仿宋" w:cs="仿宋_GB2312"/>
              </w:rPr>
              <w:t>从服务好项目角度出发进行综合评分，整体统筹规划、认识深刻、定位</w:t>
            </w:r>
            <w:r>
              <w:rPr>
                <w:rFonts w:hint="eastAsia" w:ascii="仿宋_GB2312" w:hAnsi="仿宋" w:cs="仿宋_GB2312"/>
              </w:rPr>
              <w:t>合理</w:t>
            </w:r>
            <w:r>
              <w:rPr>
                <w:rFonts w:ascii="仿宋_GB2312" w:hAnsi="仿宋" w:cs="仿宋_GB2312"/>
              </w:rPr>
              <w:t>的，得</w:t>
            </w:r>
            <w:r>
              <w:rPr>
                <w:rFonts w:hint="eastAsia" w:ascii="仿宋_GB2312" w:hAnsi="仿宋" w:cs="仿宋_GB2312"/>
              </w:rPr>
              <w:t>1</w:t>
            </w:r>
            <w:r>
              <w:rPr>
                <w:rFonts w:hint="eastAsia" w:ascii="仿宋_GB2312" w:hAnsi="仿宋" w:cs="仿宋_GB2312"/>
                <w:lang w:val="en-US" w:eastAsia="zh-CN"/>
              </w:rPr>
              <w:t>5</w:t>
            </w:r>
            <w:r>
              <w:rPr>
                <w:rFonts w:ascii="仿宋_GB2312" w:hAnsi="仿宋" w:cs="仿宋_GB2312"/>
              </w:rPr>
              <w:t>分；从服务好</w:t>
            </w:r>
            <w:r>
              <w:rPr>
                <w:rFonts w:hint="eastAsia" w:ascii="仿宋_GB2312" w:hAnsi="仿宋" w:cs="仿宋_GB2312"/>
              </w:rPr>
              <w:t>项目</w:t>
            </w:r>
            <w:r>
              <w:rPr>
                <w:rFonts w:ascii="仿宋_GB2312" w:hAnsi="仿宋" w:cs="仿宋_GB2312"/>
              </w:rPr>
              <w:t>角度出发对项目的整体统筹规划、认识、定位</w:t>
            </w:r>
            <w:r>
              <w:rPr>
                <w:rFonts w:hint="eastAsia" w:ascii="仿宋_GB2312" w:hAnsi="仿宋" w:cs="仿宋_GB2312"/>
              </w:rPr>
              <w:t>略有瑕疵的</w:t>
            </w:r>
            <w:r>
              <w:rPr>
                <w:rFonts w:ascii="仿宋_GB2312" w:hAnsi="仿宋" w:cs="仿宋_GB2312"/>
              </w:rPr>
              <w:t>，得</w:t>
            </w:r>
            <w:r>
              <w:rPr>
                <w:rFonts w:hint="eastAsia" w:ascii="仿宋_GB2312" w:hAnsi="仿宋" w:cs="仿宋_GB2312"/>
                <w:lang w:val="en-US" w:eastAsia="zh-CN"/>
              </w:rPr>
              <w:t>10</w:t>
            </w:r>
            <w:r>
              <w:rPr>
                <w:rFonts w:ascii="仿宋_GB2312" w:hAnsi="仿宋" w:cs="仿宋_GB2312"/>
              </w:rPr>
              <w:t>分；整体统筹规划、认识、定位</w:t>
            </w:r>
            <w:r>
              <w:rPr>
                <w:rFonts w:hint="eastAsia" w:ascii="仿宋_GB2312" w:hAnsi="仿宋" w:cs="仿宋_GB2312"/>
              </w:rPr>
              <w:t>有严重缺项，</w:t>
            </w:r>
            <w:r>
              <w:rPr>
                <w:rFonts w:ascii="仿宋_GB2312" w:hAnsi="仿宋" w:cs="仿宋_GB2312"/>
              </w:rPr>
              <w:t>得</w:t>
            </w:r>
            <w:r>
              <w:rPr>
                <w:rFonts w:hint="eastAsia" w:ascii="仿宋_GB2312" w:hAnsi="仿宋" w:cs="仿宋_GB2312"/>
                <w:lang w:val="en-US" w:eastAsia="zh-CN"/>
              </w:rPr>
              <w:t>5</w:t>
            </w:r>
            <w:r>
              <w:rPr>
                <w:rFonts w:ascii="仿宋_GB2312" w:hAnsi="仿宋" w:cs="仿宋_GB2312"/>
              </w:rPr>
              <w:t>分</w:t>
            </w:r>
            <w:r>
              <w:rPr>
                <w:rFonts w:hint="eastAsia" w:ascii="仿宋_GB2312" w:hAnsi="仿宋" w:cs="仿宋_GB2312"/>
              </w:rPr>
              <w:t>；方案不详细缺乏可行性，得1分；</w:t>
            </w:r>
            <w:r>
              <w:rPr>
                <w:rFonts w:ascii="仿宋_GB2312" w:hAnsi="仿宋" w:cs="仿宋_GB2312"/>
              </w:rPr>
              <w:t>未提供不得分。</w:t>
            </w:r>
          </w:p>
        </w:tc>
        <w:tc>
          <w:tcPr>
            <w:tcW w:w="65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911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项目理解</w:t>
            </w:r>
          </w:p>
        </w:tc>
        <w:tc>
          <w:tcPr>
            <w:tcW w:w="4079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对项目的需求理解与分析、关键点、重点、难点环节把握进行综合打分。项目理解全面完善、合理可行、清晰明确的，得1</w:t>
            </w:r>
            <w:r>
              <w:rPr>
                <w:rFonts w:hint="eastAsia" w:ascii="仿宋_GB2312" w:hAnsi="仿宋" w:cs="仿宋_GB2312"/>
                <w:lang w:val="en-US" w:eastAsia="zh-CN"/>
              </w:rPr>
              <w:t>5</w:t>
            </w:r>
            <w:r>
              <w:rPr>
                <w:rFonts w:hint="eastAsia" w:ascii="仿宋_GB2312" w:hAnsi="仿宋" w:cs="仿宋_GB2312"/>
              </w:rPr>
              <w:t>分；项目理解能满足项目要求的，得</w:t>
            </w:r>
            <w:r>
              <w:rPr>
                <w:rFonts w:hint="eastAsia" w:ascii="仿宋_GB2312" w:hAnsi="仿宋" w:cs="仿宋_GB2312"/>
                <w:lang w:val="en-US" w:eastAsia="zh-CN"/>
              </w:rPr>
              <w:t>10</w:t>
            </w:r>
            <w:r>
              <w:rPr>
                <w:rFonts w:hint="eastAsia" w:ascii="仿宋_GB2312" w:hAnsi="仿宋" w:cs="仿宋_GB2312"/>
              </w:rPr>
              <w:t>分；项目理解有瑕疵的，得</w:t>
            </w:r>
            <w:r>
              <w:rPr>
                <w:rFonts w:hint="eastAsia" w:ascii="仿宋_GB2312" w:hAnsi="仿宋" w:cs="仿宋_GB2312"/>
                <w:lang w:val="en-US" w:eastAsia="zh-CN"/>
              </w:rPr>
              <w:t>5</w:t>
            </w:r>
            <w:r>
              <w:rPr>
                <w:rFonts w:hint="eastAsia" w:ascii="仿宋_GB2312" w:hAnsi="仿宋" w:cs="仿宋_GB2312"/>
              </w:rPr>
              <w:t>分；内容有明显缺漏项，缺乏可行性，描述不清晰的，得1分；未提供不得分。</w:t>
            </w:r>
          </w:p>
        </w:tc>
        <w:tc>
          <w:tcPr>
            <w:tcW w:w="65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911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762" w:type="dxa"/>
            <w:vMerge w:val="continue"/>
            <w:vAlign w:val="center"/>
          </w:tcPr>
          <w:p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top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管理服务</w:t>
            </w:r>
          </w:p>
        </w:tc>
        <w:tc>
          <w:tcPr>
            <w:tcW w:w="4079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能够按照采购人要求快速组建团队，团队至少包含1名经验丰富的专职项目负责人，总人数不低于3人，团队责任分工合理，人员配备合理，管理科学、服务制度完备的，得1</w:t>
            </w:r>
            <w:r>
              <w:rPr>
                <w:rFonts w:hint="eastAsia" w:ascii="仿宋_GB2312" w:hAnsi="仿宋" w:cs="仿宋_GB2312"/>
                <w:lang w:val="en-US" w:eastAsia="zh-CN"/>
              </w:rPr>
              <w:t>0</w:t>
            </w:r>
            <w:r>
              <w:rPr>
                <w:rFonts w:hint="eastAsia" w:ascii="仿宋_GB2312" w:hAnsi="仿宋" w:cs="仿宋_GB2312"/>
              </w:rPr>
              <w:t>分；</w:t>
            </w:r>
            <w:r>
              <w:rPr>
                <w:rFonts w:hint="eastAsia" w:ascii="仿宋_GB2312" w:hAnsi="仿宋" w:cs="仿宋_GB2312"/>
                <w:lang w:eastAsia="zh-CN"/>
              </w:rPr>
              <w:t>团队基本满足要求</w:t>
            </w:r>
            <w:r>
              <w:rPr>
                <w:rFonts w:hint="eastAsia" w:ascii="仿宋_GB2312" w:hAnsi="仿宋" w:cs="仿宋_GB2312"/>
              </w:rPr>
              <w:t>，得</w:t>
            </w:r>
            <w:r>
              <w:rPr>
                <w:rFonts w:hint="eastAsia" w:ascii="仿宋_GB2312" w:hAnsi="仿宋" w:cs="仿宋_GB2312"/>
                <w:lang w:val="en-US" w:eastAsia="zh-CN"/>
              </w:rPr>
              <w:t>6</w:t>
            </w:r>
            <w:r>
              <w:rPr>
                <w:rFonts w:hint="eastAsia" w:ascii="仿宋_GB2312" w:hAnsi="仿宋" w:cs="仿宋_GB2312"/>
              </w:rPr>
              <w:t>分；团队配置薄弱，得</w:t>
            </w:r>
            <w:r>
              <w:rPr>
                <w:rFonts w:hint="eastAsia" w:ascii="仿宋_GB2312" w:hAnsi="仿宋" w:cs="仿宋_GB2312"/>
                <w:lang w:val="en-US" w:eastAsia="zh-CN"/>
              </w:rPr>
              <w:t>3</w:t>
            </w:r>
            <w:r>
              <w:rPr>
                <w:rFonts w:hint="eastAsia" w:ascii="仿宋_GB2312" w:hAnsi="仿宋" w:cs="仿宋_GB2312"/>
              </w:rPr>
              <w:t>分。</w:t>
            </w:r>
          </w:p>
        </w:tc>
        <w:tc>
          <w:tcPr>
            <w:tcW w:w="6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atLeast"/>
          <w:jc w:val="center"/>
        </w:trPr>
        <w:tc>
          <w:tcPr>
            <w:tcW w:w="762" w:type="dxa"/>
            <w:vMerge w:val="continue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Merge w:val="continue"/>
            <w:vAlign w:val="center"/>
          </w:tcPr>
          <w:p>
            <w:pPr>
              <w:pStyle w:val="2"/>
              <w:spacing w:line="380" w:lineRule="exact"/>
              <w:ind w:firstLine="0" w:firstLineChars="0"/>
              <w:jc w:val="center"/>
            </w:pPr>
          </w:p>
        </w:tc>
        <w:tc>
          <w:tcPr>
            <w:tcW w:w="113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服务保证措施</w:t>
            </w:r>
          </w:p>
        </w:tc>
        <w:tc>
          <w:tcPr>
            <w:tcW w:w="4079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各项服务保证措施、保密措施制定科学、合理，建立完整的</w:t>
            </w:r>
            <w:r>
              <w:rPr>
                <w:rFonts w:hint="eastAsia" w:ascii="仿宋_GB2312" w:hAnsi="仿宋" w:cs="仿宋_GB2312"/>
                <w:lang w:eastAsia="zh-CN"/>
              </w:rPr>
              <w:t>工作台账</w:t>
            </w:r>
            <w:r>
              <w:rPr>
                <w:rFonts w:hint="eastAsia" w:ascii="仿宋_GB2312" w:hAnsi="仿宋" w:cs="仿宋_GB2312"/>
              </w:rPr>
              <w:t>、工作信息收集、反馈等客户质量保证措施。对服务保障措施的全面性、合理性进行综合评价：</w:t>
            </w:r>
          </w:p>
          <w:p>
            <w:pPr>
              <w:spacing w:line="360" w:lineRule="exact"/>
              <w:jc w:val="left"/>
              <w:rPr>
                <w:rFonts w:ascii="仿宋_GB2312" w:hAnsi="仿宋" w:cs="仿宋_GB2312"/>
              </w:rPr>
            </w:pPr>
            <w:r>
              <w:rPr>
                <w:rFonts w:hint="eastAsia" w:ascii="仿宋_GB2312" w:cs="仿宋_GB2312"/>
              </w:rPr>
              <w:t>供应商</w:t>
            </w:r>
            <w:r>
              <w:rPr>
                <w:rFonts w:ascii="仿宋_GB2312" w:cs="仿宋_GB2312"/>
              </w:rPr>
              <w:t>组织机构及服务质量保证措施、能做到机构健全，建立完整的</w:t>
            </w:r>
            <w:r>
              <w:rPr>
                <w:rFonts w:hint="eastAsia" w:ascii="仿宋_GB2312" w:cs="仿宋_GB2312"/>
                <w:lang w:eastAsia="zh-CN"/>
              </w:rPr>
              <w:t>工作台账</w:t>
            </w:r>
            <w:r>
              <w:rPr>
                <w:rFonts w:ascii="仿宋_GB2312" w:cs="仿宋_GB2312"/>
              </w:rPr>
              <w:t>、工作信息收集、反馈等客户质量保证措施，内容全面完善、合理可行、清晰明确的，得</w:t>
            </w:r>
            <w:r>
              <w:rPr>
                <w:rFonts w:hint="eastAsia" w:ascii="仿宋_GB2312" w:cs="仿宋_GB2312"/>
              </w:rPr>
              <w:t>1</w:t>
            </w:r>
            <w:r>
              <w:rPr>
                <w:rFonts w:hint="eastAsia" w:ascii="仿宋_GB2312" w:cs="仿宋_GB2312"/>
                <w:lang w:val="en-US" w:eastAsia="zh-CN"/>
              </w:rPr>
              <w:t>5</w:t>
            </w:r>
            <w:r>
              <w:rPr>
                <w:rFonts w:ascii="仿宋_GB2312" w:cs="仿宋_GB2312"/>
              </w:rPr>
              <w:t>分；内容无缺漏项，描述</w:t>
            </w:r>
            <w:r>
              <w:rPr>
                <w:rFonts w:hint="eastAsia" w:ascii="仿宋_GB2312" w:cs="仿宋_GB2312"/>
              </w:rPr>
              <w:t>可行</w:t>
            </w:r>
            <w:r>
              <w:rPr>
                <w:rFonts w:ascii="仿宋_GB2312" w:cs="仿宋_GB2312"/>
              </w:rPr>
              <w:t>的，得</w:t>
            </w:r>
            <w:r>
              <w:rPr>
                <w:rFonts w:hint="eastAsia" w:ascii="仿宋_GB2312" w:cs="仿宋_GB2312"/>
                <w:lang w:val="en-US" w:eastAsia="zh-CN"/>
              </w:rPr>
              <w:t>10</w:t>
            </w:r>
            <w:r>
              <w:rPr>
                <w:rFonts w:ascii="仿宋_GB2312" w:cs="仿宋_GB2312"/>
              </w:rPr>
              <w:t>分；内容有缺漏，描述</w:t>
            </w:r>
            <w:r>
              <w:rPr>
                <w:rFonts w:hint="eastAsia" w:ascii="仿宋_GB2312" w:cs="仿宋_GB2312"/>
              </w:rPr>
              <w:t>略有瑕疵</w:t>
            </w:r>
            <w:r>
              <w:rPr>
                <w:rFonts w:ascii="仿宋_GB2312" w:cs="仿宋_GB2312"/>
              </w:rPr>
              <w:t>的，得</w:t>
            </w:r>
            <w:r>
              <w:rPr>
                <w:rFonts w:hint="eastAsia" w:ascii="仿宋_GB2312" w:cs="仿宋_GB2312"/>
                <w:lang w:val="en-US" w:eastAsia="zh-CN"/>
              </w:rPr>
              <w:t>5</w:t>
            </w:r>
            <w:r>
              <w:rPr>
                <w:rFonts w:ascii="仿宋_GB2312" w:cs="仿宋_GB2312"/>
              </w:rPr>
              <w:t>分；内容有缺漏，描述不清晰的</w:t>
            </w:r>
            <w:r>
              <w:rPr>
                <w:rFonts w:hint="eastAsia" w:ascii="仿宋_GB2312" w:cs="仿宋_GB2312"/>
              </w:rPr>
              <w:t>，</w:t>
            </w:r>
            <w:r>
              <w:rPr>
                <w:rFonts w:hint="eastAsia" w:ascii="仿宋_GB2312" w:hAnsi="仿宋" w:cs="仿宋_GB2312"/>
              </w:rPr>
              <w:t>缺乏可行性</w:t>
            </w:r>
            <w:r>
              <w:rPr>
                <w:rFonts w:ascii="仿宋_GB2312" w:cs="仿宋_GB2312"/>
              </w:rPr>
              <w:t>，得</w:t>
            </w:r>
            <w:r>
              <w:rPr>
                <w:rFonts w:hint="eastAsia" w:ascii="仿宋_GB2312" w:cs="仿宋_GB2312"/>
              </w:rPr>
              <w:t>1</w:t>
            </w:r>
            <w:r>
              <w:rPr>
                <w:rFonts w:ascii="仿宋_GB2312" w:cs="仿宋_GB2312"/>
              </w:rPr>
              <w:t>分；未提供不得分。</w:t>
            </w:r>
          </w:p>
        </w:tc>
        <w:tc>
          <w:tcPr>
            <w:tcW w:w="65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911" w:type="dxa"/>
            <w:tcBorders>
              <w:lef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7465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>
              <w:rPr>
                <w:rFonts w:hint="eastAsia" w:ascii="仿宋_GB2312" w:hAnsi="仿宋" w:cs="仿宋_GB2312"/>
              </w:rPr>
              <w:t>总分</w:t>
            </w:r>
          </w:p>
        </w:tc>
        <w:tc>
          <w:tcPr>
            <w:tcW w:w="656" w:type="dxa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911" w:type="dxa"/>
            <w:tcBorders>
              <w:lef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>
      <w:pPr>
        <w:spacing w:line="560" w:lineRule="exact"/>
        <w:jc w:val="left"/>
        <w:rPr>
          <w:rFonts w:ascii="仿宋_GB2312" w:hAnsi="仿宋"/>
          <w:sz w:val="28"/>
          <w:szCs w:val="28"/>
        </w:rPr>
      </w:pPr>
      <w:r>
        <w:rPr>
          <w:rFonts w:hint="eastAsia" w:ascii="仿宋_GB2312" w:hAnsi="仿宋" w:cs="仿宋_GB2312"/>
          <w:sz w:val="28"/>
          <w:szCs w:val="28"/>
        </w:rPr>
        <w:t xml:space="preserve">专家签字：     </w:t>
      </w:r>
      <w:r>
        <w:rPr>
          <w:rFonts w:hint="eastAsia" w:ascii="仿宋_GB2312" w:hAnsi="仿宋" w:cs="仿宋_GB2312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="仿宋_GB2312" w:hAnsi="仿宋" w:cs="仿宋_GB2312"/>
          <w:sz w:val="28"/>
          <w:szCs w:val="28"/>
        </w:rPr>
        <w:t>日期：   年   月   日</w:t>
      </w:r>
      <w:bookmarkEnd w:id="0"/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 Light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w:rPr>
        <w:rFonts w:ascii="仿宋_GB2312" w:hAnsi="宋体" w:eastAsia="仿宋_GB2312" w:cs="宋体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jc w:val="left"/>
                            <w:rPr>
                              <w:rFonts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8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WAAAAZHJzL1BLAQIUABQAAAAIAIdO4kDOqXm5zwAAAAUBAAAPAAAAAAAAAAEAIAAA&#10;ADgAAABkcnMvZG93bnJldi54bWxQSwECFAAUAAAACACHTuJASFdHvsYBAACcAwAADgAAAAAAAAAB&#10;ACAAAAA0AQAAZHJzL2Uyb0RvYy54bWxQSwUGAAAAAAYABgBZAQAAb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jc w:val="left"/>
                      <w:rPr>
                        <w:rFonts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- 3 -</w: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D8079A"/>
    <w:rsid w:val="00004E38"/>
    <w:rsid w:val="00005D2A"/>
    <w:rsid w:val="00007E73"/>
    <w:rsid w:val="00012273"/>
    <w:rsid w:val="00037562"/>
    <w:rsid w:val="00051F1F"/>
    <w:rsid w:val="00076AFB"/>
    <w:rsid w:val="00083FDE"/>
    <w:rsid w:val="00091250"/>
    <w:rsid w:val="00093426"/>
    <w:rsid w:val="000A1B16"/>
    <w:rsid w:val="000A2A66"/>
    <w:rsid w:val="000A4920"/>
    <w:rsid w:val="000C71B4"/>
    <w:rsid w:val="000E5CCD"/>
    <w:rsid w:val="00101ED7"/>
    <w:rsid w:val="001058E8"/>
    <w:rsid w:val="001206CF"/>
    <w:rsid w:val="001269D7"/>
    <w:rsid w:val="00144055"/>
    <w:rsid w:val="0014575F"/>
    <w:rsid w:val="001741F7"/>
    <w:rsid w:val="00174E7B"/>
    <w:rsid w:val="00186E1D"/>
    <w:rsid w:val="00193561"/>
    <w:rsid w:val="001A01A4"/>
    <w:rsid w:val="001A0616"/>
    <w:rsid w:val="001A432E"/>
    <w:rsid w:val="001B0294"/>
    <w:rsid w:val="002112CB"/>
    <w:rsid w:val="00212EBB"/>
    <w:rsid w:val="00215550"/>
    <w:rsid w:val="002256E6"/>
    <w:rsid w:val="00225C03"/>
    <w:rsid w:val="00242617"/>
    <w:rsid w:val="00247881"/>
    <w:rsid w:val="00251150"/>
    <w:rsid w:val="00252BBE"/>
    <w:rsid w:val="002573DE"/>
    <w:rsid w:val="00257A48"/>
    <w:rsid w:val="00267551"/>
    <w:rsid w:val="0027771E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201F"/>
    <w:rsid w:val="00312135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7224"/>
    <w:rsid w:val="00373CC6"/>
    <w:rsid w:val="003841BD"/>
    <w:rsid w:val="00395352"/>
    <w:rsid w:val="003B3D14"/>
    <w:rsid w:val="003B745C"/>
    <w:rsid w:val="003D4E8B"/>
    <w:rsid w:val="00403621"/>
    <w:rsid w:val="00403913"/>
    <w:rsid w:val="0041591F"/>
    <w:rsid w:val="00433D4D"/>
    <w:rsid w:val="00434209"/>
    <w:rsid w:val="00440122"/>
    <w:rsid w:val="00441988"/>
    <w:rsid w:val="0044451E"/>
    <w:rsid w:val="00452743"/>
    <w:rsid w:val="0047679D"/>
    <w:rsid w:val="0048185C"/>
    <w:rsid w:val="0048201F"/>
    <w:rsid w:val="004859CB"/>
    <w:rsid w:val="004912FF"/>
    <w:rsid w:val="00497653"/>
    <w:rsid w:val="004A537A"/>
    <w:rsid w:val="004A7C33"/>
    <w:rsid w:val="004B02EC"/>
    <w:rsid w:val="004B242E"/>
    <w:rsid w:val="004C5E9F"/>
    <w:rsid w:val="004D50F9"/>
    <w:rsid w:val="0050299C"/>
    <w:rsid w:val="005117EE"/>
    <w:rsid w:val="00521AEC"/>
    <w:rsid w:val="0052799B"/>
    <w:rsid w:val="0053478E"/>
    <w:rsid w:val="005350B2"/>
    <w:rsid w:val="00563994"/>
    <w:rsid w:val="005778EF"/>
    <w:rsid w:val="00581A86"/>
    <w:rsid w:val="005822F5"/>
    <w:rsid w:val="0059260E"/>
    <w:rsid w:val="00594ADB"/>
    <w:rsid w:val="0059501C"/>
    <w:rsid w:val="005A2254"/>
    <w:rsid w:val="005A4D62"/>
    <w:rsid w:val="005B2AD6"/>
    <w:rsid w:val="005C7D81"/>
    <w:rsid w:val="005E05DC"/>
    <w:rsid w:val="005E1090"/>
    <w:rsid w:val="005F272F"/>
    <w:rsid w:val="005F674E"/>
    <w:rsid w:val="0060077F"/>
    <w:rsid w:val="0060558A"/>
    <w:rsid w:val="00612AB3"/>
    <w:rsid w:val="00615AE9"/>
    <w:rsid w:val="006167DE"/>
    <w:rsid w:val="006257AE"/>
    <w:rsid w:val="00644BCE"/>
    <w:rsid w:val="006628C0"/>
    <w:rsid w:val="006764C3"/>
    <w:rsid w:val="0067726D"/>
    <w:rsid w:val="00680387"/>
    <w:rsid w:val="006805E1"/>
    <w:rsid w:val="00681CA7"/>
    <w:rsid w:val="006A41F2"/>
    <w:rsid w:val="006B6D74"/>
    <w:rsid w:val="006C344C"/>
    <w:rsid w:val="006D03F7"/>
    <w:rsid w:val="006F3197"/>
    <w:rsid w:val="006F5E72"/>
    <w:rsid w:val="00720B78"/>
    <w:rsid w:val="00724A14"/>
    <w:rsid w:val="00731564"/>
    <w:rsid w:val="00741A1B"/>
    <w:rsid w:val="0074657A"/>
    <w:rsid w:val="0075478A"/>
    <w:rsid w:val="007574D4"/>
    <w:rsid w:val="00773A49"/>
    <w:rsid w:val="00780C62"/>
    <w:rsid w:val="00782EAC"/>
    <w:rsid w:val="00785B0F"/>
    <w:rsid w:val="0078764D"/>
    <w:rsid w:val="00790A6C"/>
    <w:rsid w:val="00795AA0"/>
    <w:rsid w:val="00795D8E"/>
    <w:rsid w:val="007B2BA6"/>
    <w:rsid w:val="007B3212"/>
    <w:rsid w:val="007C1087"/>
    <w:rsid w:val="007C11F7"/>
    <w:rsid w:val="007C1870"/>
    <w:rsid w:val="007F0FC3"/>
    <w:rsid w:val="007F520D"/>
    <w:rsid w:val="008000B3"/>
    <w:rsid w:val="008122E5"/>
    <w:rsid w:val="00812C8F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A6D6F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1E1E"/>
    <w:rsid w:val="00963B02"/>
    <w:rsid w:val="00965414"/>
    <w:rsid w:val="00982D01"/>
    <w:rsid w:val="00987D27"/>
    <w:rsid w:val="00995822"/>
    <w:rsid w:val="00996862"/>
    <w:rsid w:val="009A37C7"/>
    <w:rsid w:val="009A3A25"/>
    <w:rsid w:val="009B1D59"/>
    <w:rsid w:val="009C55A3"/>
    <w:rsid w:val="009D7A64"/>
    <w:rsid w:val="009E0B95"/>
    <w:rsid w:val="009E5FFD"/>
    <w:rsid w:val="009E6DF0"/>
    <w:rsid w:val="009F0825"/>
    <w:rsid w:val="009F6883"/>
    <w:rsid w:val="00A12191"/>
    <w:rsid w:val="00A32198"/>
    <w:rsid w:val="00A42C68"/>
    <w:rsid w:val="00A81EF8"/>
    <w:rsid w:val="00A85157"/>
    <w:rsid w:val="00A951A9"/>
    <w:rsid w:val="00A97FA4"/>
    <w:rsid w:val="00AA080C"/>
    <w:rsid w:val="00AA39E5"/>
    <w:rsid w:val="00AA4FEC"/>
    <w:rsid w:val="00AA6C66"/>
    <w:rsid w:val="00AA7E91"/>
    <w:rsid w:val="00AB5E59"/>
    <w:rsid w:val="00AC62F1"/>
    <w:rsid w:val="00AE31B2"/>
    <w:rsid w:val="00AE5099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52DF"/>
    <w:rsid w:val="00B503B3"/>
    <w:rsid w:val="00B51C0F"/>
    <w:rsid w:val="00B8156F"/>
    <w:rsid w:val="00B849C1"/>
    <w:rsid w:val="00B9185D"/>
    <w:rsid w:val="00B92F7B"/>
    <w:rsid w:val="00B96F49"/>
    <w:rsid w:val="00BA08B6"/>
    <w:rsid w:val="00BA1F4C"/>
    <w:rsid w:val="00BA4D2B"/>
    <w:rsid w:val="00BB10C2"/>
    <w:rsid w:val="00BC26C0"/>
    <w:rsid w:val="00BC74D5"/>
    <w:rsid w:val="00BD1C6E"/>
    <w:rsid w:val="00BE0DED"/>
    <w:rsid w:val="00BF15DE"/>
    <w:rsid w:val="00BF2544"/>
    <w:rsid w:val="00C029AD"/>
    <w:rsid w:val="00C02D89"/>
    <w:rsid w:val="00C104AB"/>
    <w:rsid w:val="00C13AAF"/>
    <w:rsid w:val="00C25F6B"/>
    <w:rsid w:val="00C31D76"/>
    <w:rsid w:val="00C42824"/>
    <w:rsid w:val="00C46328"/>
    <w:rsid w:val="00C7207C"/>
    <w:rsid w:val="00C730CF"/>
    <w:rsid w:val="00C77047"/>
    <w:rsid w:val="00C8038C"/>
    <w:rsid w:val="00C80C32"/>
    <w:rsid w:val="00C81AD5"/>
    <w:rsid w:val="00C86F86"/>
    <w:rsid w:val="00C961D0"/>
    <w:rsid w:val="00CB34B0"/>
    <w:rsid w:val="00CD1657"/>
    <w:rsid w:val="00CD4057"/>
    <w:rsid w:val="00CE28BE"/>
    <w:rsid w:val="00CE59AC"/>
    <w:rsid w:val="00CF23EE"/>
    <w:rsid w:val="00CF31B6"/>
    <w:rsid w:val="00CF5F62"/>
    <w:rsid w:val="00D02C6B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0F05"/>
    <w:rsid w:val="00D5134C"/>
    <w:rsid w:val="00D5425C"/>
    <w:rsid w:val="00D565EA"/>
    <w:rsid w:val="00D61C81"/>
    <w:rsid w:val="00D814C8"/>
    <w:rsid w:val="00D92378"/>
    <w:rsid w:val="00DB6563"/>
    <w:rsid w:val="00DB729A"/>
    <w:rsid w:val="00DD2D9B"/>
    <w:rsid w:val="00E07060"/>
    <w:rsid w:val="00E12678"/>
    <w:rsid w:val="00E174FE"/>
    <w:rsid w:val="00E2107A"/>
    <w:rsid w:val="00E22A42"/>
    <w:rsid w:val="00E35C26"/>
    <w:rsid w:val="00E51C08"/>
    <w:rsid w:val="00E902E5"/>
    <w:rsid w:val="00E9534C"/>
    <w:rsid w:val="00E95D20"/>
    <w:rsid w:val="00E95DDB"/>
    <w:rsid w:val="00E968D6"/>
    <w:rsid w:val="00EA7A58"/>
    <w:rsid w:val="00EC3F54"/>
    <w:rsid w:val="00EE2BA4"/>
    <w:rsid w:val="00EE4BCB"/>
    <w:rsid w:val="00EE5A1A"/>
    <w:rsid w:val="00EF11AC"/>
    <w:rsid w:val="00F30AE2"/>
    <w:rsid w:val="00F423A3"/>
    <w:rsid w:val="00F4408F"/>
    <w:rsid w:val="00F46B1F"/>
    <w:rsid w:val="00F66644"/>
    <w:rsid w:val="00F66EB9"/>
    <w:rsid w:val="00F736BE"/>
    <w:rsid w:val="00F74646"/>
    <w:rsid w:val="00F74F41"/>
    <w:rsid w:val="00F8058D"/>
    <w:rsid w:val="00F832CA"/>
    <w:rsid w:val="00F841DF"/>
    <w:rsid w:val="00F876B4"/>
    <w:rsid w:val="00F92ED2"/>
    <w:rsid w:val="00F96C7B"/>
    <w:rsid w:val="00FA159A"/>
    <w:rsid w:val="00FA64C4"/>
    <w:rsid w:val="00FB234C"/>
    <w:rsid w:val="00FD4CDA"/>
    <w:rsid w:val="00FF4FDB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EBA053B"/>
    <w:rsid w:val="0FCA3416"/>
    <w:rsid w:val="10683901"/>
    <w:rsid w:val="12C937DA"/>
    <w:rsid w:val="163B13BD"/>
    <w:rsid w:val="16DE6C5A"/>
    <w:rsid w:val="17C84D1B"/>
    <w:rsid w:val="18F7506E"/>
    <w:rsid w:val="195B2CED"/>
    <w:rsid w:val="1B0B5132"/>
    <w:rsid w:val="1B187ACD"/>
    <w:rsid w:val="1BBD6679"/>
    <w:rsid w:val="1BFB3915"/>
    <w:rsid w:val="1D011792"/>
    <w:rsid w:val="1D81666B"/>
    <w:rsid w:val="1E3E6721"/>
    <w:rsid w:val="1EB65FC6"/>
    <w:rsid w:val="1F7C08C2"/>
    <w:rsid w:val="21921588"/>
    <w:rsid w:val="251721AE"/>
    <w:rsid w:val="2600072A"/>
    <w:rsid w:val="260D2317"/>
    <w:rsid w:val="273710E3"/>
    <w:rsid w:val="27A8681B"/>
    <w:rsid w:val="2BB26FBA"/>
    <w:rsid w:val="2C9C4567"/>
    <w:rsid w:val="2D61157B"/>
    <w:rsid w:val="2DAA7B51"/>
    <w:rsid w:val="31153933"/>
    <w:rsid w:val="31344F7A"/>
    <w:rsid w:val="31A85770"/>
    <w:rsid w:val="334355C3"/>
    <w:rsid w:val="33D215D5"/>
    <w:rsid w:val="340A09D7"/>
    <w:rsid w:val="3594763E"/>
    <w:rsid w:val="381F2FA1"/>
    <w:rsid w:val="3B42400D"/>
    <w:rsid w:val="3B8418C7"/>
    <w:rsid w:val="3E9734EF"/>
    <w:rsid w:val="3F5E3F9E"/>
    <w:rsid w:val="4103128F"/>
    <w:rsid w:val="431F179E"/>
    <w:rsid w:val="43A42516"/>
    <w:rsid w:val="43AD759A"/>
    <w:rsid w:val="44123AD2"/>
    <w:rsid w:val="4565276B"/>
    <w:rsid w:val="45DA58E8"/>
    <w:rsid w:val="472E2E34"/>
    <w:rsid w:val="496E7512"/>
    <w:rsid w:val="49763CF9"/>
    <w:rsid w:val="49FB4B2B"/>
    <w:rsid w:val="4AB25CAB"/>
    <w:rsid w:val="4B681FEC"/>
    <w:rsid w:val="4D372CB6"/>
    <w:rsid w:val="4DE56CC2"/>
    <w:rsid w:val="4E3D7BDC"/>
    <w:rsid w:val="4FB90FDF"/>
    <w:rsid w:val="509737EC"/>
    <w:rsid w:val="52982C54"/>
    <w:rsid w:val="546D7872"/>
    <w:rsid w:val="552F1A24"/>
    <w:rsid w:val="56BB5368"/>
    <w:rsid w:val="57FF600E"/>
    <w:rsid w:val="5872731F"/>
    <w:rsid w:val="5898209E"/>
    <w:rsid w:val="59C93B54"/>
    <w:rsid w:val="5A447B27"/>
    <w:rsid w:val="5C3A38E4"/>
    <w:rsid w:val="5D3A4001"/>
    <w:rsid w:val="5D794E98"/>
    <w:rsid w:val="5E203BFE"/>
    <w:rsid w:val="5F4D69A8"/>
    <w:rsid w:val="606D426D"/>
    <w:rsid w:val="60BB14B8"/>
    <w:rsid w:val="661D0774"/>
    <w:rsid w:val="664D7686"/>
    <w:rsid w:val="67BA2E94"/>
    <w:rsid w:val="67C931C1"/>
    <w:rsid w:val="6A2E4616"/>
    <w:rsid w:val="6B3F80EA"/>
    <w:rsid w:val="6D3E76D3"/>
    <w:rsid w:val="6F1222B8"/>
    <w:rsid w:val="6F8A5637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  <w:rsid w:val="7F8FC650"/>
    <w:rsid w:val="ABCD17C3"/>
    <w:rsid w:val="EEF82E8A"/>
    <w:rsid w:val="FBFF23C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 w:locked="1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 w:locked="1"/>
    <w:lsdException w:qFormat="1" w:uiPriority="0" w:semiHidden="0" w:name="toc 2" w:locked="1"/>
    <w:lsdException w:qFormat="1" w:uiPriority="0" w:semiHidden="0" w:name="toc 3" w:locked="1"/>
    <w:lsdException w:qFormat="1" w:uiPriority="0" w:semiHidden="0" w:name="toc 4" w:locked="1"/>
    <w:lsdException w:qFormat="1" w:uiPriority="0" w:semiHidden="0" w:name="toc 5" w:locked="1"/>
    <w:lsdException w:qFormat="1" w:uiPriority="0" w:semiHidden="0" w:name="toc 6" w:locked="1"/>
    <w:lsdException w:qFormat="1" w:uiPriority="0" w:semiHidden="0" w:name="toc 7" w:locked="1"/>
    <w:lsdException w:qFormat="1" w:uiPriority="0" w:semiHidden="0" w:name="toc 8" w:locked="1"/>
    <w:lsdException w:qFormat="1" w:uiPriority="0" w:semiHidden="0" w:name="toc 9" w:locked="1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0" w:semiHidden="0" w:name="Strong" w:locked="1"/>
    <w:lsdException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3">
    <w:name w:val="Default Paragraph Font"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unhideWhenUsed/>
    <w:qFormat/>
    <w:locked/>
    <w:uiPriority w:val="0"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5">
    <w:name w:val="annotation text"/>
    <w:basedOn w:val="1"/>
    <w:link w:val="46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26"/>
    <w:qFormat/>
    <w:uiPriority w:val="99"/>
    <w:pPr>
      <w:jc w:val="center"/>
    </w:pPr>
    <w:rPr>
      <w:rFonts w:eastAsia="黑体"/>
      <w:sz w:val="24"/>
    </w:rPr>
  </w:style>
  <w:style w:type="paragraph" w:styleId="7">
    <w:name w:val="toc 5"/>
    <w:basedOn w:val="1"/>
    <w:next w:val="1"/>
    <w:unhideWhenUsed/>
    <w:qFormat/>
    <w:locked/>
    <w:uiPriority w:val="0"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8">
    <w:name w:val="toc 3"/>
    <w:basedOn w:val="1"/>
    <w:next w:val="1"/>
    <w:unhideWhenUsed/>
    <w:qFormat/>
    <w:locked/>
    <w:uiPriority w:val="0"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9">
    <w:name w:val="toc 8"/>
    <w:basedOn w:val="1"/>
    <w:next w:val="1"/>
    <w:unhideWhenUsed/>
    <w:qFormat/>
    <w:locked/>
    <w:uiPriority w:val="0"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10">
    <w:name w:val="Balloon Text"/>
    <w:basedOn w:val="1"/>
    <w:link w:val="41"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unhideWhenUsed/>
    <w:qFormat/>
    <w:locked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14">
    <w:name w:val="toc 4"/>
    <w:basedOn w:val="1"/>
    <w:next w:val="1"/>
    <w:unhideWhenUsed/>
    <w:qFormat/>
    <w:locked/>
    <w:uiPriority w:val="0"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15">
    <w:name w:val="toc 6"/>
    <w:basedOn w:val="1"/>
    <w:next w:val="1"/>
    <w:unhideWhenUsed/>
    <w:qFormat/>
    <w:locked/>
    <w:uiPriority w:val="0"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16">
    <w:name w:val="toc 2"/>
    <w:basedOn w:val="1"/>
    <w:next w:val="1"/>
    <w:unhideWhenUsed/>
    <w:qFormat/>
    <w:locked/>
    <w:uiPriority w:val="0"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17">
    <w:name w:val="toc 9"/>
    <w:basedOn w:val="1"/>
    <w:next w:val="1"/>
    <w:unhideWhenUsed/>
    <w:qFormat/>
    <w:locked/>
    <w:uiPriority w:val="0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1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9">
    <w:name w:val="Title"/>
    <w:basedOn w:val="1"/>
    <w:next w:val="1"/>
    <w:qFormat/>
    <w:locked/>
    <w:uiPriority w:val="0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paragraph" w:styleId="20">
    <w:name w:val="annotation subject"/>
    <w:basedOn w:val="5"/>
    <w:next w:val="5"/>
    <w:link w:val="47"/>
    <w:semiHidden/>
    <w:unhideWhenUsed/>
    <w:qFormat/>
    <w:uiPriority w:val="99"/>
    <w:rPr>
      <w:b/>
      <w:bCs/>
    </w:rPr>
  </w:style>
  <w:style w:type="table" w:styleId="22">
    <w:name w:val="Table Grid"/>
    <w:basedOn w:val="21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4">
    <w:name w:val="page number"/>
    <w:qFormat/>
    <w:uiPriority w:val="0"/>
  </w:style>
  <w:style w:type="character" w:styleId="25">
    <w:name w:val="annotation reference"/>
    <w:basedOn w:val="23"/>
    <w:semiHidden/>
    <w:unhideWhenUsed/>
    <w:qFormat/>
    <w:uiPriority w:val="99"/>
    <w:rPr>
      <w:sz w:val="21"/>
      <w:szCs w:val="21"/>
    </w:rPr>
  </w:style>
  <w:style w:type="character" w:customStyle="1" w:styleId="26">
    <w:name w:val="正文文本 Char"/>
    <w:basedOn w:val="23"/>
    <w:link w:val="6"/>
    <w:semiHidden/>
    <w:qFormat/>
    <w:locked/>
    <w:uiPriority w:val="99"/>
    <w:rPr>
      <w:rFonts w:cs="Times New Roman"/>
      <w:sz w:val="24"/>
      <w:szCs w:val="24"/>
    </w:rPr>
  </w:style>
  <w:style w:type="character" w:customStyle="1" w:styleId="27">
    <w:name w:val="页脚 Char"/>
    <w:basedOn w:val="23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8">
    <w:name w:val="页眉 Char"/>
    <w:basedOn w:val="23"/>
    <w:link w:val="12"/>
    <w:qFormat/>
    <w:locked/>
    <w:uiPriority w:val="99"/>
    <w:rPr>
      <w:rFonts w:cs="Times New Roman"/>
      <w:kern w:val="2"/>
      <w:sz w:val="18"/>
      <w:szCs w:val="18"/>
    </w:rPr>
  </w:style>
  <w:style w:type="paragraph" w:customStyle="1" w:styleId="29">
    <w:name w:val="中心标题"/>
    <w:basedOn w:val="1"/>
    <w:link w:val="30"/>
    <w:qFormat/>
    <w:uiPriority w:val="0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30">
    <w:name w:val="中心标题 Char"/>
    <w:link w:val="29"/>
    <w:qFormat/>
    <w:uiPriority w:val="0"/>
    <w:rPr>
      <w:rFonts w:ascii="宋体" w:hAnsi="宋体"/>
      <w:b/>
      <w:kern w:val="2"/>
      <w:sz w:val="44"/>
      <w:szCs w:val="44"/>
    </w:rPr>
  </w:style>
  <w:style w:type="paragraph" w:customStyle="1" w:styleId="31">
    <w:name w:val="（一、）"/>
    <w:basedOn w:val="1"/>
    <w:link w:val="32"/>
    <w:qFormat/>
    <w:uiPriority w:val="0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32">
    <w:name w:val="（一、） Char"/>
    <w:link w:val="31"/>
    <w:qFormat/>
    <w:uiPriority w:val="0"/>
    <w:rPr>
      <w:rFonts w:ascii="黑体" w:eastAsia="黑体"/>
      <w:kern w:val="2"/>
      <w:sz w:val="32"/>
      <w:szCs w:val="32"/>
    </w:rPr>
  </w:style>
  <w:style w:type="paragraph" w:customStyle="1" w:styleId="33">
    <w:name w:val="（（一））"/>
    <w:basedOn w:val="1"/>
    <w:link w:val="34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4">
    <w:name w:val="（（一）） Char"/>
    <w:link w:val="33"/>
    <w:qFormat/>
    <w:uiPriority w:val="0"/>
    <w:rPr>
      <w:rFonts w:ascii="楷体_GB2312" w:eastAsia="楷体_GB2312"/>
      <w:kern w:val="2"/>
      <w:sz w:val="32"/>
      <w:szCs w:val="32"/>
    </w:rPr>
  </w:style>
  <w:style w:type="paragraph" w:customStyle="1" w:styleId="35">
    <w:name w:val="（1、）"/>
    <w:basedOn w:val="1"/>
    <w:link w:val="36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6">
    <w:name w:val="（1、） Char"/>
    <w:link w:val="35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7">
    <w:name w:val="中心正文"/>
    <w:basedOn w:val="1"/>
    <w:link w:val="38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8">
    <w:name w:val="中心正文 Char"/>
    <w:link w:val="37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9">
    <w:name w:val="样式 宋体 四号 居中 行距: 1.5 倍行距"/>
    <w:basedOn w:val="1"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40">
    <w:name w:val="TOC 标题1"/>
    <w:basedOn w:val="3"/>
    <w:next w:val="1"/>
    <w:unhideWhenUsed/>
    <w:qFormat/>
    <w:uiPriority w:val="39"/>
    <w:pPr>
      <w:widowControl/>
      <w:spacing w:before="240" w:line="259" w:lineRule="auto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0"/>
      <w:sz w:val="32"/>
      <w:szCs w:val="32"/>
    </w:rPr>
  </w:style>
  <w:style w:type="character" w:customStyle="1" w:styleId="41">
    <w:name w:val="批注框文本 Char"/>
    <w:basedOn w:val="23"/>
    <w:link w:val="10"/>
    <w:semiHidden/>
    <w:qFormat/>
    <w:uiPriority w:val="99"/>
    <w:rPr>
      <w:kern w:val="2"/>
      <w:sz w:val="18"/>
      <w:szCs w:val="18"/>
    </w:rPr>
  </w:style>
  <w:style w:type="paragraph" w:styleId="42">
    <w:name w:val="List Paragraph"/>
    <w:basedOn w:val="1"/>
    <w:qFormat/>
    <w:uiPriority w:val="99"/>
    <w:pPr>
      <w:ind w:firstLine="420" w:firstLineChars="200"/>
    </w:pPr>
  </w:style>
  <w:style w:type="character" w:customStyle="1" w:styleId="43">
    <w:name w:val="NormalCharacter"/>
    <w:qFormat/>
    <w:uiPriority w:val="0"/>
  </w:style>
  <w:style w:type="paragraph" w:customStyle="1" w:styleId="44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45">
    <w:name w:val="样式 仿宋"/>
    <w:qFormat/>
    <w:uiPriority w:val="0"/>
    <w:rPr>
      <w:rFonts w:ascii="仿宋" w:hAnsi="仿宋" w:eastAsia="仿宋"/>
      <w:kern w:val="1"/>
    </w:rPr>
  </w:style>
  <w:style w:type="character" w:customStyle="1" w:styleId="46">
    <w:name w:val="批注文字 Char"/>
    <w:basedOn w:val="23"/>
    <w:link w:val="5"/>
    <w:semiHidden/>
    <w:qFormat/>
    <w:uiPriority w:val="99"/>
    <w:rPr>
      <w:kern w:val="2"/>
      <w:sz w:val="21"/>
      <w:szCs w:val="24"/>
    </w:rPr>
  </w:style>
  <w:style w:type="character" w:customStyle="1" w:styleId="47">
    <w:name w:val="批注主题 Char"/>
    <w:basedOn w:val="46"/>
    <w:link w:val="20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3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dc2c90a7-cf1d-4093-bfb4-a45d42200741</errorID>
      <errorWord xmlns="http://schemas.wps.cn/vas-ai-hub/contract-review">,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，</item>
      </candidateList>
      <explain xmlns="http://schemas.wps.cn/vas-ai-hub/contract-review">文本全半角错误。</explain>
      <paraID xmlns="http://schemas.wps.cn/vas-ai-hub/contract-review">5FF5BBB0</paraID>
      <start xmlns="http://schemas.wps.cn/vas-ai-hub/contract-review">31</start>
      <end xmlns="http://schemas.wps.cn/vas-ai-hub/contract-review">33</end>
      <status xmlns="http://schemas.wps.cn/vas-ai-hub/contract-review">modified</status>
      <modifiedWord xmlns="http://schemas.wps.cn/vas-ai-hub/contract-review">，</modifiedWord>
      <trackRevisions xmlns="http://schemas.wps.cn/vas-ai-hub/contract-review">true</trackRevisions>
    </reviewItem>
    <reviewItem xmlns="http://schemas.wps.cn/vas-ai-hub/contract-review">
      <errorID xmlns="http://schemas.wps.cn/vas-ai-hub/contract-review">c8207d60-58e1-4dfe-8460-79522448dcbd</errorID>
      <errorWord xmlns="http://schemas.wps.cn/vas-ai-hub/contract-review">工作台帐</errorWord>
      <group xmlns="http://schemas.wps.cn/vas-ai-hub/contract-review">L1_AI</group>
      <groupName xmlns="http://schemas.wps.cn/vas-ai-hub/contract-review">深度校对</groupName>
      <ability xmlns="http://schemas.wps.cn/vas-ai-hub/contract-review">L2_AI_Word</ability>
      <abilityName xmlns="http://schemas.wps.cn/vas-ai-hub/contract-review">字词纠错</abilityName>
      <candidateList xmlns="http://schemas.wps.cn/vas-ai-hub/contract-review">
        <item xmlns="http://schemas.wps.cn/vas-ai-hub/contract-review">工作台账</item>
      </candidateList>
      <explain xmlns="http://schemas.wps.cn/vas-ai-hub/contract-review"/>
      <paraID xmlns="http://schemas.wps.cn/vas-ai-hub/contract-review">481F63A0</paraID>
      <start xmlns="http://schemas.wps.cn/vas-ai-hub/contract-review">26</start>
      <end xmlns="http://schemas.wps.cn/vas-ai-hub/contract-review">34</end>
      <status xmlns="http://schemas.wps.cn/vas-ai-hub/contract-review">modified</status>
      <modifiedWord xmlns="http://schemas.wps.cn/vas-ai-hub/contract-review">工作台账</modifiedWord>
      <trackRevisions xmlns="http://schemas.wps.cn/vas-ai-hub/contract-review">true</trackRevisions>
    </reviewItem>
    <reviewItem xmlns="http://schemas.wps.cn/vas-ai-hub/contract-review">
      <errorID xmlns="http://schemas.wps.cn/vas-ai-hub/contract-review">a2304941-c4ea-4845-9b41-f0e50e24714d</errorID>
      <errorWord xmlns="http://schemas.wps.cn/vas-ai-hub/contract-review">工作台帐</errorWord>
      <group xmlns="http://schemas.wps.cn/vas-ai-hub/contract-review">L1_Word</group>
      <groupName xmlns="http://schemas.wps.cn/vas-ai-hub/contract-review">字词问题</groupName>
      <ability xmlns="http://schemas.wps.cn/vas-ai-hub/contract-review">L2_Alias</ability>
      <abilityName xmlns="http://schemas.wps.cn/vas-ai-hub/contract-review">也作/曾用词</abilityName>
      <candidateList xmlns="http://schemas.wps.cn/vas-ai-hub/contract-review">
        <item xmlns="http://schemas.wps.cn/vas-ai-hub/contract-review">工作台账</item>
      </candidateList>
      <explain xmlns="http://schemas.wps.cn/vas-ai-hub/contract-review">词汇[工作台帐]为不规范表述或旧称，其规范书面表述为[工作台账]。</explain>
      <paraID xmlns="http://schemas.wps.cn/vas-ai-hub/contract-review">1826925E</paraID>
      <start xmlns="http://schemas.wps.cn/vas-ai-hub/contract-review">30</start>
      <end xmlns="http://schemas.wps.cn/vas-ai-hub/contract-review">38</end>
      <status xmlns="http://schemas.wps.cn/vas-ai-hub/contract-review">modified</status>
      <modifiedWord xmlns="http://schemas.wps.cn/vas-ai-hub/contract-review">工作台账</modifiedWord>
      <trackRevisions xmlns="http://schemas.wps.cn/vas-ai-hub/contract-review">true</trackRevisions>
    </reviewItem>
  </reviewItems>
  <config xmlns="http://schemas.wps.cn/vas-ai-hub/contract-review"/>
</contractReview>
</file>

<file path=customXml/item3.xml><?xml version="1.0" encoding="utf-8"?>
<b:Sources xmlns:b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9633572-f4bb-44ed-9691-6040cc426bca}">
  <ds:schemaRefs/>
</ds:datastoreItem>
</file>

<file path=customXml/itemProps3.xml><?xml version="1.0" encoding="utf-8"?>
<ds:datastoreItem xmlns:ds="http://schemas.openxmlformats.org/officeDocument/2006/customXml" ds:itemID="{780D04A8-2036-42B6-8983-C93D4620BFB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1079</Words>
  <Characters>1104</Characters>
  <Lines>9</Lines>
  <Paragraphs>2</Paragraphs>
  <TotalTime>8</TotalTime>
  <ScaleCrop>false</ScaleCrop>
  <LinksUpToDate>false</LinksUpToDate>
  <CharactersWithSpaces>1118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2024-08-10T17:54:00Z</dcterms:created>
  <dc:creator>1</dc:creator>
  <cp:lastModifiedBy>徐官兴</cp:lastModifiedBy>
  <cp:lastPrinted>2021-03-23T19:22:00Z</cp:lastPrinted>
  <dcterms:modified xsi:type="dcterms:W3CDTF">2026-03-20T09:21:56Z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848A6C8127124F2DAB12D1464B133A50_13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eyJoZGlkIjoiZjNjMDVjZDdiNzRiMWQzNDQ5MDI1NzFlMmQ2ZTRmMGUiLCJ1c2VySWQiOiI1MTUyOTM5NTUifQ==</vt:lpwstr>
  </property>
</Properties>
</file>